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548E249">
      <w:pPr>
        <w:wordWrap w:val="0"/>
        <w:adjustRightInd w:val="0"/>
        <w:snapToGrid w:val="0"/>
        <w:spacing w:line="360" w:lineRule="auto"/>
        <w:jc w:val="center"/>
        <w:rPr>
          <w:b/>
          <w:sz w:val="40"/>
          <w:szCs w:val="44"/>
        </w:rPr>
      </w:pPr>
      <w:r>
        <w:rPr>
          <w:rFonts w:hint="eastAsia"/>
          <w:b/>
          <w:sz w:val="40"/>
          <w:szCs w:val="44"/>
        </w:rPr>
        <w:t>《动物源性食品中裂头蚴检测方法》</w:t>
      </w:r>
      <w:r>
        <w:rPr>
          <w:b/>
          <w:sz w:val="40"/>
          <w:szCs w:val="44"/>
        </w:rPr>
        <w:t>编制说明</w:t>
      </w:r>
    </w:p>
    <w:p w14:paraId="2E87D8AC">
      <w:pPr>
        <w:wordWrap w:val="0"/>
        <w:adjustRightInd w:val="0"/>
        <w:snapToGrid w:val="0"/>
        <w:spacing w:line="360" w:lineRule="auto"/>
        <w:jc w:val="left"/>
        <w:rPr>
          <w:b/>
          <w:color w:val="00B0F0"/>
          <w:sz w:val="44"/>
        </w:rPr>
      </w:pPr>
      <w:r>
        <w:rPr>
          <w:rFonts w:ascii="Arial" w:hAnsi="Arial" w:cs="Arial"/>
          <w:color w:val="00B0F0"/>
          <w:sz w:val="24"/>
        </w:rPr>
        <w:t>注：</w:t>
      </w:r>
      <w:r>
        <w:rPr>
          <w:rFonts w:hint="eastAsia" w:ascii="Arial" w:hAnsi="Arial" w:cs="Arial"/>
          <w:color w:val="00B0F0"/>
          <w:sz w:val="24"/>
        </w:rPr>
        <w:t>提交时黑色和蓝色字均不可删减。没有的应写“无”。</w:t>
      </w:r>
    </w:p>
    <w:p w14:paraId="4773D9B4">
      <w:pPr>
        <w:pStyle w:val="2"/>
        <w:keepNext w:val="0"/>
        <w:keepLines w:val="0"/>
        <w:wordWrap w:val="0"/>
        <w:ind w:firstLine="560"/>
        <w:rPr>
          <w:sz w:val="28"/>
        </w:rPr>
      </w:pPr>
      <w:r>
        <w:rPr>
          <w:sz w:val="28"/>
        </w:rPr>
        <w:t>一、工作简况</w:t>
      </w:r>
      <w:bookmarkStart w:id="0" w:name="OLE_LINK12"/>
    </w:p>
    <w:bookmarkEnd w:id="0"/>
    <w:p w14:paraId="00310969">
      <w:pPr>
        <w:pStyle w:val="3"/>
        <w:keepNext w:val="0"/>
        <w:keepLines w:val="0"/>
        <w:wordWrap w:val="0"/>
        <w:ind w:firstLine="562"/>
        <w:rPr>
          <w:sz w:val="28"/>
        </w:rPr>
      </w:pPr>
      <w:r>
        <w:rPr>
          <w:sz w:val="28"/>
        </w:rPr>
        <w:t>（一）任务来源</w:t>
      </w:r>
    </w:p>
    <w:p w14:paraId="4D640AFF">
      <w:pPr>
        <w:adjustRightInd w:val="0"/>
        <w:snapToGrid w:val="0"/>
        <w:spacing w:line="360" w:lineRule="auto"/>
        <w:ind w:firstLine="480" w:firstLineChars="200"/>
        <w:rPr>
          <w:rFonts w:eastAsiaTheme="minorEastAsia"/>
          <w:sz w:val="24"/>
        </w:rPr>
      </w:pPr>
      <w:r>
        <w:rPr>
          <w:rFonts w:hint="eastAsia" w:eastAsiaTheme="minorEastAsia"/>
          <w:sz w:val="24"/>
        </w:rPr>
        <w:t>本任务来源于农业农村部农产品质量安全监管司《关于下达2</w:t>
      </w:r>
      <w:r>
        <w:rPr>
          <w:rFonts w:eastAsiaTheme="minorEastAsia"/>
          <w:sz w:val="24"/>
        </w:rPr>
        <w:t>023</w:t>
      </w:r>
      <w:r>
        <w:rPr>
          <w:rFonts w:hint="eastAsia" w:eastAsiaTheme="minorEastAsia"/>
          <w:sz w:val="24"/>
        </w:rPr>
        <w:t>年农业国家和行业标准制修订项目计划的通知》（农质标函[</w:t>
      </w:r>
      <w:r>
        <w:rPr>
          <w:rFonts w:eastAsiaTheme="minorEastAsia"/>
          <w:sz w:val="24"/>
        </w:rPr>
        <w:t>2023]51</w:t>
      </w:r>
      <w:r>
        <w:rPr>
          <w:rFonts w:hint="eastAsia" w:eastAsiaTheme="minorEastAsia"/>
          <w:sz w:val="24"/>
        </w:rPr>
        <w:t>号），项目名称：制定《动物源性食品中裂头蚴检测方法》标准，项目编号：N</w:t>
      </w:r>
      <w:r>
        <w:rPr>
          <w:rFonts w:eastAsiaTheme="minorEastAsia"/>
          <w:sz w:val="24"/>
        </w:rPr>
        <w:t>YB-23093</w:t>
      </w:r>
      <w:r>
        <w:rPr>
          <w:rFonts w:hint="eastAsia" w:eastAsiaTheme="minorEastAsia"/>
          <w:sz w:val="24"/>
        </w:rPr>
        <w:t>。</w:t>
      </w:r>
    </w:p>
    <w:p w14:paraId="35CD6AEB">
      <w:pPr>
        <w:adjustRightInd w:val="0"/>
        <w:snapToGrid w:val="0"/>
        <w:spacing w:line="360" w:lineRule="auto"/>
        <w:ind w:firstLine="480" w:firstLineChars="200"/>
        <w:rPr>
          <w:rFonts w:eastAsiaTheme="minorEastAsia"/>
          <w:sz w:val="24"/>
        </w:rPr>
      </w:pPr>
      <w:r>
        <w:rPr>
          <w:rFonts w:hint="eastAsia" w:eastAsiaTheme="minorEastAsia"/>
          <w:sz w:val="24"/>
        </w:rPr>
        <w:t>该任务的制定背景如下：</w:t>
      </w:r>
    </w:p>
    <w:p w14:paraId="38597AE7">
      <w:pPr>
        <w:adjustRightInd w:val="0"/>
        <w:snapToGrid w:val="0"/>
        <w:spacing w:line="360" w:lineRule="auto"/>
        <w:ind w:firstLine="482" w:firstLineChars="200"/>
        <w:rPr>
          <w:rFonts w:eastAsiaTheme="minorEastAsia"/>
          <w:b/>
          <w:sz w:val="24"/>
        </w:rPr>
      </w:pPr>
      <w:r>
        <w:rPr>
          <w:rFonts w:eastAsiaTheme="minorEastAsia"/>
          <w:b/>
          <w:sz w:val="24"/>
        </w:rPr>
        <w:t>1</w:t>
      </w:r>
      <w:r>
        <w:rPr>
          <w:rFonts w:hAnsiTheme="minorEastAsia" w:eastAsiaTheme="minorEastAsia"/>
          <w:b/>
          <w:sz w:val="24"/>
        </w:rPr>
        <w:t>、裂头蚴严重危害动物性食品的质量和安全</w:t>
      </w:r>
    </w:p>
    <w:p w14:paraId="48FA24C3">
      <w:pPr>
        <w:adjustRightInd w:val="0"/>
        <w:snapToGrid w:val="0"/>
        <w:spacing w:line="360" w:lineRule="auto"/>
        <w:ind w:firstLine="480" w:firstLineChars="200"/>
        <w:rPr>
          <w:rFonts w:hAnsiTheme="minorEastAsia" w:eastAsiaTheme="minorEastAsia"/>
          <w:sz w:val="24"/>
        </w:rPr>
      </w:pPr>
      <w:r>
        <w:rPr>
          <w:rFonts w:hAnsiTheme="minorEastAsia" w:eastAsiaTheme="minorEastAsia"/>
          <w:sz w:val="24"/>
        </w:rPr>
        <w:t>迭宫绦虫（</w:t>
      </w:r>
      <w:r>
        <w:rPr>
          <w:rFonts w:eastAsiaTheme="minorEastAsia"/>
          <w:i/>
          <w:sz w:val="24"/>
        </w:rPr>
        <w:t xml:space="preserve">Spirometra </w:t>
      </w:r>
      <w:r>
        <w:rPr>
          <w:rFonts w:hint="eastAsia" w:eastAsiaTheme="minorEastAsia"/>
          <w:sz w:val="24"/>
        </w:rPr>
        <w:t>spp</w:t>
      </w:r>
      <w:r>
        <w:rPr>
          <w:rFonts w:eastAsiaTheme="minorEastAsia"/>
          <w:sz w:val="24"/>
        </w:rPr>
        <w:t>.</w:t>
      </w:r>
      <w:r>
        <w:rPr>
          <w:rFonts w:hAnsiTheme="minorEastAsia" w:eastAsiaTheme="minorEastAsia"/>
          <w:sz w:val="24"/>
        </w:rPr>
        <w:t>）是一种常见、危害严重的人兽共患食源性寄生虫，广泛寄生于猪、犬、猫、禽鸟类、蛇、蛙、鱼、野生动物及人类体内，对宿主机体造成严重的损伤，甚至威胁生命。其中犬、猫为其终末宿主；猪、禽、鱼类、人等动物为其中间宿主或转续宿主，此时寄生的是其幼虫裂头蚴（</w:t>
      </w:r>
      <w:r>
        <w:rPr>
          <w:rFonts w:hint="eastAsia" w:hAnsiTheme="minorEastAsia" w:eastAsiaTheme="minorEastAsia"/>
          <w:sz w:val="24"/>
        </w:rPr>
        <w:t>P</w:t>
      </w:r>
      <w:r>
        <w:rPr>
          <w:rFonts w:eastAsiaTheme="minorEastAsia"/>
          <w:kern w:val="0"/>
          <w:sz w:val="24"/>
        </w:rPr>
        <w:t>lerocercoid larvae</w:t>
      </w:r>
      <w:r>
        <w:rPr>
          <w:rFonts w:hint="eastAsia" w:eastAsiaTheme="minorEastAsia"/>
          <w:kern w:val="0"/>
          <w:sz w:val="24"/>
        </w:rPr>
        <w:t>，亦称s</w:t>
      </w:r>
      <w:r>
        <w:rPr>
          <w:rFonts w:eastAsiaTheme="minorEastAsia"/>
          <w:kern w:val="0"/>
          <w:sz w:val="24"/>
        </w:rPr>
        <w:t>pargana</w:t>
      </w:r>
      <w:r>
        <w:rPr>
          <w:rFonts w:hAnsiTheme="minorEastAsia" w:eastAsiaTheme="minorEastAsia"/>
          <w:sz w:val="24"/>
        </w:rPr>
        <w:t>）。</w:t>
      </w:r>
      <w:r>
        <w:rPr>
          <w:rFonts w:hint="eastAsia" w:hAnsiTheme="minorEastAsia" w:eastAsiaTheme="minorEastAsia"/>
          <w:sz w:val="24"/>
        </w:rPr>
        <w:t>根据跌宫绦虫</w:t>
      </w:r>
      <w:r>
        <w:rPr>
          <w:sz w:val="24"/>
        </w:rPr>
        <w:t xml:space="preserve">线粒体细胞色素c氧化酶亚基1（Mitochondrial cytochrome c oxidase subunit 1, </w:t>
      </w:r>
      <w:r>
        <w:rPr>
          <w:i/>
          <w:sz w:val="24"/>
        </w:rPr>
        <w:t>cox</w:t>
      </w:r>
      <w:r>
        <w:rPr>
          <w:sz w:val="24"/>
        </w:rPr>
        <w:t>1）基因</w:t>
      </w:r>
      <w:r>
        <w:rPr>
          <w:rFonts w:hint="eastAsia"/>
          <w:sz w:val="24"/>
        </w:rPr>
        <w:t>序列分析，目前多数学者认为该属寄生虫存在6个有效种（系），分别是：欧猥跌宫绦虫（</w:t>
      </w:r>
      <w:r>
        <w:rPr>
          <w:i/>
          <w:sz w:val="24"/>
        </w:rPr>
        <w:t>Spirometra erinaceieuropaei</w:t>
      </w:r>
      <w:r>
        <w:rPr>
          <w:rFonts w:hint="eastAsia"/>
          <w:sz w:val="24"/>
        </w:rPr>
        <w:t>），主要流行于欧洲；虚假跌宫绦虫复合体1（</w:t>
      </w:r>
      <w:r>
        <w:rPr>
          <w:i/>
          <w:sz w:val="24"/>
        </w:rPr>
        <w:t xml:space="preserve">Spirometra decipiens </w:t>
      </w:r>
      <w:r>
        <w:rPr>
          <w:sz w:val="24"/>
        </w:rPr>
        <w:t>complex 1</w:t>
      </w:r>
      <w:r>
        <w:rPr>
          <w:rFonts w:hint="eastAsia"/>
          <w:sz w:val="24"/>
        </w:rPr>
        <w:t>），主要流行于美洲；虚假跌宫绦虫复合体2（</w:t>
      </w:r>
      <w:r>
        <w:rPr>
          <w:i/>
          <w:sz w:val="24"/>
        </w:rPr>
        <w:t xml:space="preserve">Spirometra decipiens </w:t>
      </w:r>
      <w:r>
        <w:rPr>
          <w:sz w:val="24"/>
        </w:rPr>
        <w:t>complex 2</w:t>
      </w:r>
      <w:r>
        <w:rPr>
          <w:rFonts w:hint="eastAsia"/>
          <w:sz w:val="24"/>
        </w:rPr>
        <w:t>），主要流行于美洲；</w:t>
      </w:r>
      <w:r>
        <w:rPr>
          <w:i/>
          <w:sz w:val="24"/>
        </w:rPr>
        <w:t>Spirometra folium</w:t>
      </w:r>
      <w:r>
        <w:rPr>
          <w:rFonts w:hint="eastAsia"/>
          <w:sz w:val="24"/>
        </w:rPr>
        <w:t>，主要流行于非洲；曼氏跌宫绦虫（</w:t>
      </w:r>
      <w:r>
        <w:rPr>
          <w:i/>
          <w:sz w:val="24"/>
        </w:rPr>
        <w:t>Spirometra mansoni</w:t>
      </w:r>
      <w:r>
        <w:rPr>
          <w:rFonts w:hint="eastAsia"/>
          <w:sz w:val="24"/>
        </w:rPr>
        <w:t>），主要流行亚洲，在东南欧洲（如乌克兰）、大洋洲、非洲也有报道；亚洲跌宫绦虫（</w:t>
      </w:r>
      <w:r>
        <w:rPr>
          <w:i/>
          <w:sz w:val="24"/>
        </w:rPr>
        <w:t>Spirometra asiana</w:t>
      </w:r>
      <w:r>
        <w:rPr>
          <w:rFonts w:hint="eastAsia"/>
          <w:sz w:val="24"/>
        </w:rPr>
        <w:t>，以前称为</w:t>
      </w:r>
      <w:r>
        <w:rPr>
          <w:i/>
          <w:sz w:val="24"/>
        </w:rPr>
        <w:t>Spirometra</w:t>
      </w:r>
      <w:r>
        <w:rPr>
          <w:sz w:val="24"/>
        </w:rPr>
        <w:t xml:space="preserve"> sp. 1</w:t>
      </w:r>
      <w:r>
        <w:rPr>
          <w:rFonts w:hint="eastAsia"/>
          <w:sz w:val="24"/>
        </w:rPr>
        <w:t>），目前主要流行于日本。其中，我国流行的主要是曼氏跌宫绦虫。</w:t>
      </w:r>
    </w:p>
    <w:p w14:paraId="336B37B7">
      <w:pPr>
        <w:adjustRightInd w:val="0"/>
        <w:snapToGrid w:val="0"/>
        <w:spacing w:line="360" w:lineRule="auto"/>
        <w:ind w:firstLine="480" w:firstLineChars="200"/>
        <w:rPr>
          <w:rFonts w:eastAsiaTheme="minorEastAsia"/>
          <w:sz w:val="24"/>
        </w:rPr>
      </w:pPr>
      <w:r>
        <w:rPr>
          <w:rFonts w:hAnsiTheme="minorEastAsia" w:eastAsiaTheme="minorEastAsia"/>
          <w:sz w:val="24"/>
        </w:rPr>
        <w:t>猪感染</w:t>
      </w:r>
      <w:r>
        <w:rPr>
          <w:rFonts w:hint="eastAsia" w:hAnsiTheme="minorEastAsia" w:eastAsiaTheme="minorEastAsia"/>
          <w:sz w:val="24"/>
        </w:rPr>
        <w:t>跌宫绦虫</w:t>
      </w:r>
      <w:r>
        <w:rPr>
          <w:rFonts w:hAnsiTheme="minorEastAsia" w:eastAsiaTheme="minorEastAsia"/>
          <w:sz w:val="24"/>
        </w:rPr>
        <w:t>裂头蚴后，引起食欲不振、非外寄生虫性皮肤发痒、生长缓慢等症状，严重影响养猪业的经济效益。</w:t>
      </w:r>
      <w:r>
        <w:rPr>
          <w:rFonts w:hint="eastAsia" w:hAnsiTheme="minorEastAsia" w:eastAsiaTheme="minorEastAsia"/>
          <w:sz w:val="24"/>
        </w:rPr>
        <w:t>任务承担单位</w:t>
      </w:r>
      <w:r>
        <w:rPr>
          <w:rFonts w:hAnsiTheme="minorEastAsia" w:eastAsiaTheme="minorEastAsia"/>
          <w:sz w:val="24"/>
        </w:rPr>
        <w:t>自</w:t>
      </w:r>
      <w:r>
        <w:rPr>
          <w:rFonts w:eastAsiaTheme="minorEastAsia"/>
          <w:sz w:val="24"/>
        </w:rPr>
        <w:t>2015</w:t>
      </w:r>
      <w:r>
        <w:rPr>
          <w:rFonts w:hAnsiTheme="minorEastAsia" w:eastAsiaTheme="minorEastAsia"/>
          <w:sz w:val="24"/>
        </w:rPr>
        <w:t>年起，持续承担</w:t>
      </w:r>
      <w:r>
        <w:rPr>
          <w:rFonts w:hAnsiTheme="minorEastAsia" w:eastAsiaTheme="minorEastAsia"/>
          <w:bCs/>
          <w:kern w:val="0"/>
          <w:sz w:val="24"/>
        </w:rPr>
        <w:t>国家农产品质量安全风险评估项目中</w:t>
      </w:r>
      <w:r>
        <w:rPr>
          <w:rFonts w:hAnsiTheme="minorEastAsia" w:eastAsiaTheme="minorEastAsia"/>
          <w:sz w:val="24"/>
        </w:rPr>
        <w:t>畜禽产品病原菌和寄生虫污染风险评估工作，开展了上海、重庆、山东、广东、浙江等省市猪产品中</w:t>
      </w:r>
      <w:r>
        <w:rPr>
          <w:rFonts w:hint="eastAsia" w:hAnsiTheme="minorEastAsia" w:eastAsiaTheme="minorEastAsia"/>
          <w:sz w:val="24"/>
        </w:rPr>
        <w:t>跌宫绦虫</w:t>
      </w:r>
      <w:r>
        <w:rPr>
          <w:rFonts w:hAnsiTheme="minorEastAsia" w:eastAsiaTheme="minorEastAsia"/>
          <w:sz w:val="24"/>
        </w:rPr>
        <w:t>裂头蚴携带情况的监测工作，发现</w:t>
      </w:r>
      <w:r>
        <w:rPr>
          <w:rFonts w:eastAsiaTheme="minorEastAsia"/>
          <w:sz w:val="24"/>
        </w:rPr>
        <w:t>2015</w:t>
      </w:r>
      <w:r>
        <w:rPr>
          <w:rFonts w:hAnsiTheme="minorEastAsia" w:eastAsiaTheme="minorEastAsia"/>
          <w:sz w:val="24"/>
        </w:rPr>
        <w:t>和</w:t>
      </w:r>
      <w:r>
        <w:rPr>
          <w:rFonts w:eastAsiaTheme="minorEastAsia"/>
          <w:sz w:val="24"/>
        </w:rPr>
        <w:t>2016</w:t>
      </w:r>
      <w:r>
        <w:rPr>
          <w:rFonts w:hAnsiTheme="minorEastAsia" w:eastAsiaTheme="minorEastAsia"/>
          <w:sz w:val="24"/>
        </w:rPr>
        <w:t>年上海、重庆、广州等地猪肉中曼氏裂头蚴的阳性率分别达</w:t>
      </w:r>
      <w:r>
        <w:rPr>
          <w:rFonts w:eastAsiaTheme="minorEastAsia"/>
          <w:sz w:val="24"/>
        </w:rPr>
        <w:t>3.57%</w:t>
      </w:r>
      <w:r>
        <w:rPr>
          <w:rFonts w:hAnsiTheme="minorEastAsia" w:eastAsiaTheme="minorEastAsia"/>
          <w:sz w:val="24"/>
        </w:rPr>
        <w:t>和</w:t>
      </w:r>
      <w:r>
        <w:rPr>
          <w:rFonts w:eastAsiaTheme="minorEastAsia"/>
          <w:sz w:val="24"/>
        </w:rPr>
        <w:t>0.14%</w:t>
      </w:r>
      <w:r>
        <w:rPr>
          <w:rFonts w:hAnsiTheme="minorEastAsia" w:eastAsiaTheme="minorEastAsia"/>
          <w:sz w:val="24"/>
        </w:rPr>
        <w:t>，其他年度也存在不同程度的污染；</w:t>
      </w:r>
      <w:r>
        <w:rPr>
          <w:rFonts w:eastAsiaTheme="minorEastAsia"/>
          <w:sz w:val="24"/>
        </w:rPr>
        <w:t>2015</w:t>
      </w:r>
      <w:r>
        <w:rPr>
          <w:rFonts w:hint="eastAsia" w:eastAsiaTheme="minorEastAsia"/>
          <w:sz w:val="24"/>
        </w:rPr>
        <w:t xml:space="preserve">年 </w:t>
      </w:r>
      <w:r>
        <w:rPr>
          <w:rFonts w:eastAsiaTheme="minorEastAsia"/>
          <w:sz w:val="24"/>
        </w:rPr>
        <w:t>~ 2018</w:t>
      </w:r>
      <w:r>
        <w:rPr>
          <w:rFonts w:hAnsiTheme="minorEastAsia" w:eastAsiaTheme="minorEastAsia"/>
          <w:sz w:val="24"/>
        </w:rPr>
        <w:t>年，上海多个大中型屠宰场、区县农贸市场、超市采集的猪</w:t>
      </w:r>
      <w:r>
        <w:rPr>
          <w:rFonts w:hint="eastAsia" w:hAnsiTheme="minorEastAsia" w:eastAsiaTheme="minorEastAsia"/>
          <w:sz w:val="24"/>
        </w:rPr>
        <w:t>肉</w:t>
      </w:r>
      <w:r>
        <w:rPr>
          <w:rFonts w:hAnsiTheme="minorEastAsia" w:eastAsiaTheme="minorEastAsia"/>
          <w:sz w:val="24"/>
        </w:rPr>
        <w:t>中裂头蚴的阳性率为</w:t>
      </w:r>
      <w:r>
        <w:rPr>
          <w:rFonts w:eastAsiaTheme="minorEastAsia"/>
          <w:sz w:val="24"/>
        </w:rPr>
        <w:t>0.53%</w:t>
      </w:r>
      <w:r>
        <w:rPr>
          <w:rFonts w:hAnsiTheme="minorEastAsia" w:eastAsiaTheme="minorEastAsia"/>
          <w:sz w:val="24"/>
        </w:rPr>
        <w:t>。</w:t>
      </w:r>
      <w:r>
        <w:rPr>
          <w:rFonts w:hint="eastAsia" w:hAnsiTheme="minorEastAsia" w:eastAsiaTheme="minorEastAsia"/>
          <w:sz w:val="24"/>
        </w:rPr>
        <w:t>这些结果提示，上述地区猪群中存在跌宫绦虫裂头蚴感染，对猪群健康及养猪业的经济效益存在潜在威胁。</w:t>
      </w:r>
    </w:p>
    <w:p w14:paraId="153262C4">
      <w:pPr>
        <w:adjustRightInd w:val="0"/>
        <w:snapToGrid w:val="0"/>
        <w:spacing w:line="360" w:lineRule="auto"/>
        <w:ind w:firstLine="482" w:firstLineChars="200"/>
        <w:jc w:val="left"/>
        <w:rPr>
          <w:rFonts w:eastAsiaTheme="minorEastAsia"/>
          <w:b/>
          <w:sz w:val="24"/>
        </w:rPr>
      </w:pPr>
      <w:r>
        <w:rPr>
          <w:rFonts w:eastAsiaTheme="minorEastAsia"/>
          <w:b/>
          <w:sz w:val="24"/>
        </w:rPr>
        <w:t>2</w:t>
      </w:r>
      <w:r>
        <w:rPr>
          <w:rFonts w:hAnsiTheme="minorEastAsia" w:eastAsiaTheme="minorEastAsia"/>
          <w:b/>
          <w:sz w:val="24"/>
        </w:rPr>
        <w:t>、裂头蚴严重危害消费者的健康</w:t>
      </w:r>
    </w:p>
    <w:p w14:paraId="238D7CA7">
      <w:pPr>
        <w:adjustRightInd w:val="0"/>
        <w:snapToGrid w:val="0"/>
        <w:spacing w:line="360" w:lineRule="auto"/>
        <w:ind w:firstLine="420"/>
        <w:rPr>
          <w:rFonts w:asciiTheme="minorEastAsia" w:hAnsiTheme="minorEastAsia" w:eastAsiaTheme="minorEastAsia"/>
          <w:color w:val="00B0F0"/>
          <w:sz w:val="24"/>
        </w:rPr>
      </w:pPr>
      <w:r>
        <w:rPr>
          <w:rFonts w:hAnsiTheme="minorEastAsia" w:eastAsiaTheme="minorEastAsia"/>
          <w:sz w:val="24"/>
          <w:shd w:val="clear" w:color="auto" w:fill="FFFFFF"/>
        </w:rPr>
        <w:t>食源性和水源性腹泻病每年导致约</w:t>
      </w:r>
      <w:r>
        <w:rPr>
          <w:rFonts w:eastAsiaTheme="minorEastAsia"/>
          <w:sz w:val="24"/>
          <w:shd w:val="clear" w:color="auto" w:fill="FFFFFF"/>
        </w:rPr>
        <w:t>220</w:t>
      </w:r>
      <w:r>
        <w:rPr>
          <w:rFonts w:hAnsiTheme="minorEastAsia" w:eastAsiaTheme="minorEastAsia"/>
          <w:sz w:val="24"/>
          <w:shd w:val="clear" w:color="auto" w:fill="FFFFFF"/>
        </w:rPr>
        <w:t>万人死亡，其中多数是儿童</w:t>
      </w:r>
      <w:r>
        <w:rPr>
          <w:rFonts w:eastAsiaTheme="minorEastAsia"/>
          <w:sz w:val="24"/>
          <w:shd w:val="clear" w:color="auto" w:fill="FFFFFF"/>
        </w:rPr>
        <w:t>[</w:t>
      </w:r>
      <w:r>
        <w:rPr>
          <w:rFonts w:hAnsiTheme="minorEastAsia" w:eastAsiaTheme="minorEastAsia"/>
          <w:sz w:val="24"/>
          <w:shd w:val="clear" w:color="auto" w:fill="FFFFFF"/>
        </w:rPr>
        <w:t>世界卫生组织（</w:t>
      </w:r>
      <w:r>
        <w:rPr>
          <w:rFonts w:eastAsiaTheme="minorEastAsia"/>
          <w:bCs/>
          <w:sz w:val="24"/>
        </w:rPr>
        <w:t>World Health Organization</w:t>
      </w:r>
      <w:r>
        <w:rPr>
          <w:rFonts w:hAnsiTheme="minorEastAsia" w:eastAsiaTheme="minorEastAsia"/>
          <w:bCs/>
          <w:sz w:val="24"/>
        </w:rPr>
        <w:t>，</w:t>
      </w:r>
      <w:r>
        <w:rPr>
          <w:rFonts w:eastAsiaTheme="minorEastAsia"/>
          <w:bCs/>
          <w:sz w:val="24"/>
        </w:rPr>
        <w:t>WHO</w:t>
      </w:r>
      <w:r>
        <w:rPr>
          <w:rFonts w:hAnsiTheme="minorEastAsia" w:eastAsiaTheme="minorEastAsia"/>
          <w:sz w:val="24"/>
        </w:rPr>
        <w:t>）</w:t>
      </w:r>
      <w:r>
        <w:rPr>
          <w:rFonts w:hAnsiTheme="minorEastAsia" w:eastAsiaTheme="minorEastAsia"/>
          <w:sz w:val="24"/>
          <w:shd w:val="clear" w:color="auto" w:fill="FFFFFF"/>
        </w:rPr>
        <w:t>，</w:t>
      </w:r>
      <w:r>
        <w:rPr>
          <w:rFonts w:eastAsiaTheme="minorEastAsia"/>
          <w:sz w:val="24"/>
          <w:shd w:val="clear" w:color="auto" w:fill="FFFFFF"/>
        </w:rPr>
        <w:t>https://www.who.int/foodsafety/ areas_work/ foodborne-diseases/zh/]</w:t>
      </w:r>
      <w:r>
        <w:rPr>
          <w:rFonts w:hAnsiTheme="minorEastAsia" w:eastAsiaTheme="minorEastAsia"/>
          <w:sz w:val="24"/>
          <w:shd w:val="clear" w:color="auto" w:fill="FFFFFF"/>
        </w:rPr>
        <w:t>。</w:t>
      </w:r>
      <w:r>
        <w:rPr>
          <w:rFonts w:eastAsiaTheme="minorEastAsia"/>
          <w:sz w:val="24"/>
        </w:rPr>
        <w:t>WHO</w:t>
      </w:r>
      <w:r>
        <w:rPr>
          <w:rFonts w:hAnsiTheme="minorEastAsia" w:eastAsiaTheme="minorEastAsia"/>
          <w:sz w:val="24"/>
        </w:rPr>
        <w:t>更是将</w:t>
      </w:r>
      <w:r>
        <w:rPr>
          <w:rFonts w:eastAsiaTheme="minorEastAsia"/>
          <w:sz w:val="24"/>
        </w:rPr>
        <w:t>2015</w:t>
      </w:r>
      <w:r>
        <w:rPr>
          <w:rFonts w:hAnsiTheme="minorEastAsia" w:eastAsiaTheme="minorEastAsia"/>
          <w:sz w:val="24"/>
        </w:rPr>
        <w:t>年世界卫生日（</w:t>
      </w:r>
      <w:r>
        <w:rPr>
          <w:rFonts w:eastAsiaTheme="minorEastAsia"/>
          <w:sz w:val="24"/>
        </w:rPr>
        <w:t>4</w:t>
      </w:r>
      <w:r>
        <w:rPr>
          <w:rFonts w:hAnsiTheme="minorEastAsia" w:eastAsiaTheme="minorEastAsia"/>
          <w:sz w:val="24"/>
        </w:rPr>
        <w:t>月</w:t>
      </w:r>
      <w:r>
        <w:rPr>
          <w:rFonts w:eastAsiaTheme="minorEastAsia"/>
          <w:sz w:val="24"/>
        </w:rPr>
        <w:t>7</w:t>
      </w:r>
      <w:r>
        <w:rPr>
          <w:rFonts w:hAnsiTheme="minorEastAsia" w:eastAsiaTheme="minorEastAsia"/>
          <w:sz w:val="24"/>
        </w:rPr>
        <w:t>日）的主题定</w:t>
      </w:r>
      <w:r>
        <w:rPr>
          <w:rFonts w:asciiTheme="minorEastAsia" w:hAnsiTheme="minorEastAsia" w:eastAsiaTheme="minorEastAsia"/>
          <w:sz w:val="24"/>
        </w:rPr>
        <w:t>为“食品安全”。</w:t>
      </w:r>
    </w:p>
    <w:p w14:paraId="50B938B9">
      <w:pPr>
        <w:adjustRightInd w:val="0"/>
        <w:snapToGrid w:val="0"/>
        <w:spacing w:line="360" w:lineRule="auto"/>
        <w:ind w:firstLine="420"/>
        <w:rPr>
          <w:rFonts w:eastAsiaTheme="minorEastAsia"/>
          <w:color w:val="00B0F0"/>
          <w:sz w:val="24"/>
        </w:rPr>
      </w:pPr>
      <w:r>
        <w:rPr>
          <w:rFonts w:asciiTheme="minorEastAsia" w:hAnsiTheme="minorEastAsia" w:eastAsiaTheme="minorEastAsia"/>
          <w:sz w:val="24"/>
        </w:rPr>
        <w:t>我国党和政府历来高度重视包括猪肉在内的动物食品安全问题。十九大报告指出，要“实施食品安全战略，让人民吃得放心”。</w:t>
      </w:r>
      <w:r>
        <w:rPr>
          <w:rFonts w:hAnsiTheme="minorEastAsia" w:eastAsiaTheme="minorEastAsia"/>
          <w:sz w:val="24"/>
        </w:rPr>
        <w:t>但我国动物食品的质量和安全离人民群众的期望仍有较大差距，食品安全事故频发，其中，动物源性病原是引发动物食品安全事件最主要的因素。</w:t>
      </w:r>
      <w:r>
        <w:rPr>
          <w:rFonts w:eastAsiaTheme="minorEastAsia"/>
          <w:sz w:val="24"/>
        </w:rPr>
        <w:t>2011~2014</w:t>
      </w:r>
      <w:r>
        <w:rPr>
          <w:rFonts w:hAnsiTheme="minorEastAsia" w:eastAsiaTheme="minorEastAsia"/>
          <w:sz w:val="24"/>
        </w:rPr>
        <w:t>年，我国报告的食源性疾病爆发次数由每年</w:t>
      </w:r>
      <w:r>
        <w:rPr>
          <w:rFonts w:eastAsiaTheme="minorEastAsia"/>
          <w:sz w:val="24"/>
        </w:rPr>
        <w:t>809</w:t>
      </w:r>
      <w:r>
        <w:rPr>
          <w:rFonts w:hAnsiTheme="minorEastAsia" w:eastAsiaTheme="minorEastAsia"/>
          <w:sz w:val="24"/>
        </w:rPr>
        <w:t>次递增至</w:t>
      </w:r>
      <w:r>
        <w:rPr>
          <w:rFonts w:eastAsiaTheme="minorEastAsia"/>
          <w:sz w:val="24"/>
        </w:rPr>
        <w:t>1 480</w:t>
      </w:r>
      <w:r>
        <w:rPr>
          <w:rFonts w:hAnsiTheme="minorEastAsia" w:eastAsiaTheme="minorEastAsia"/>
          <w:sz w:val="24"/>
        </w:rPr>
        <w:t>次，患病人数由</w:t>
      </w:r>
      <w:r>
        <w:rPr>
          <w:rFonts w:eastAsiaTheme="minorEastAsia"/>
          <w:sz w:val="24"/>
        </w:rPr>
        <w:t>14 057</w:t>
      </w:r>
      <w:r>
        <w:rPr>
          <w:rFonts w:hAnsiTheme="minorEastAsia" w:eastAsiaTheme="minorEastAsia"/>
          <w:sz w:val="24"/>
        </w:rPr>
        <w:t>人递增至</w:t>
      </w:r>
      <w:r>
        <w:rPr>
          <w:rFonts w:eastAsiaTheme="minorEastAsia"/>
          <w:sz w:val="24"/>
        </w:rPr>
        <w:t>17 651</w:t>
      </w:r>
      <w:r>
        <w:rPr>
          <w:rFonts w:hAnsiTheme="minorEastAsia" w:eastAsiaTheme="minorEastAsia"/>
          <w:sz w:val="24"/>
        </w:rPr>
        <w:t>人；</w:t>
      </w:r>
      <w:r>
        <w:rPr>
          <w:rFonts w:eastAsiaTheme="minorEastAsia"/>
          <w:sz w:val="24"/>
        </w:rPr>
        <w:t>2008~2012</w:t>
      </w:r>
      <w:r>
        <w:rPr>
          <w:rFonts w:hAnsiTheme="minorEastAsia" w:eastAsiaTheme="minorEastAsia"/>
          <w:sz w:val="24"/>
        </w:rPr>
        <w:t>年，卫生部收到食源性疾病爆发事件</w:t>
      </w:r>
      <w:r>
        <w:rPr>
          <w:rFonts w:eastAsiaTheme="minorEastAsia"/>
          <w:sz w:val="24"/>
        </w:rPr>
        <w:t>1 244</w:t>
      </w:r>
      <w:r>
        <w:rPr>
          <w:rFonts w:hAnsiTheme="minorEastAsia" w:eastAsiaTheme="minorEastAsia"/>
          <w:sz w:val="24"/>
        </w:rPr>
        <w:t>起，发病</w:t>
      </w:r>
      <w:r>
        <w:rPr>
          <w:rFonts w:eastAsiaTheme="minorEastAsia"/>
          <w:sz w:val="24"/>
        </w:rPr>
        <w:t>44 856</w:t>
      </w:r>
      <w:r>
        <w:rPr>
          <w:rFonts w:hAnsiTheme="minorEastAsia" w:eastAsiaTheme="minorEastAsia"/>
          <w:sz w:val="24"/>
        </w:rPr>
        <w:t>人，死亡</w:t>
      </w:r>
      <w:r>
        <w:rPr>
          <w:rFonts w:eastAsiaTheme="minorEastAsia"/>
          <w:sz w:val="24"/>
        </w:rPr>
        <w:t>749</w:t>
      </w:r>
      <w:r>
        <w:rPr>
          <w:rFonts w:hAnsiTheme="minorEastAsia" w:eastAsiaTheme="minorEastAsia"/>
          <w:sz w:val="24"/>
        </w:rPr>
        <w:t>人，其中由动物源性病原引起的食源性疾病事件数占我国食源性疾病事件数的</w:t>
      </w:r>
      <w:r>
        <w:rPr>
          <w:rFonts w:eastAsiaTheme="minorEastAsia"/>
          <w:sz w:val="24"/>
        </w:rPr>
        <w:t>71.0%</w:t>
      </w:r>
      <w:r>
        <w:rPr>
          <w:rFonts w:hAnsiTheme="minorEastAsia" w:eastAsiaTheme="minorEastAsia"/>
          <w:sz w:val="24"/>
        </w:rPr>
        <w:t>，发病人数占</w:t>
      </w:r>
      <w:r>
        <w:rPr>
          <w:rFonts w:eastAsiaTheme="minorEastAsia"/>
          <w:sz w:val="24"/>
        </w:rPr>
        <w:t>79.6%</w:t>
      </w:r>
      <w:r>
        <w:rPr>
          <w:rFonts w:hAnsiTheme="minorEastAsia" w:eastAsiaTheme="minorEastAsia"/>
          <w:sz w:val="24"/>
        </w:rPr>
        <w:t>，死亡人数占</w:t>
      </w:r>
      <w:r>
        <w:rPr>
          <w:rFonts w:eastAsiaTheme="minorEastAsia"/>
          <w:sz w:val="24"/>
        </w:rPr>
        <w:t>62.0%</w:t>
      </w:r>
      <w:r>
        <w:rPr>
          <w:rFonts w:hAnsiTheme="minorEastAsia" w:eastAsiaTheme="minorEastAsia"/>
          <w:sz w:val="24"/>
        </w:rPr>
        <w:t>（夏咸柱等，</w:t>
      </w:r>
      <w:r>
        <w:rPr>
          <w:rFonts w:eastAsiaTheme="minorEastAsia"/>
          <w:sz w:val="24"/>
        </w:rPr>
        <w:t>2016</w:t>
      </w:r>
      <w:r>
        <w:rPr>
          <w:rFonts w:hAnsiTheme="minorEastAsia" w:eastAsiaTheme="minorEastAsia"/>
          <w:sz w:val="24"/>
        </w:rPr>
        <w:t>）。</w:t>
      </w:r>
    </w:p>
    <w:p w14:paraId="3888164B">
      <w:pPr>
        <w:adjustRightInd w:val="0"/>
        <w:snapToGrid w:val="0"/>
        <w:spacing w:line="360" w:lineRule="auto"/>
        <w:ind w:firstLine="480" w:firstLineChars="200"/>
        <w:jc w:val="left"/>
        <w:rPr>
          <w:rFonts w:eastAsiaTheme="minorEastAsia"/>
          <w:sz w:val="24"/>
        </w:rPr>
      </w:pPr>
      <w:r>
        <w:rPr>
          <w:rFonts w:hAnsiTheme="minorEastAsia" w:eastAsiaTheme="minorEastAsia"/>
          <w:sz w:val="24"/>
        </w:rPr>
        <w:t>猪肉是我国居民最喜欢的肉类食品，</w:t>
      </w:r>
      <w:r>
        <w:rPr>
          <w:rFonts w:eastAsiaTheme="minorEastAsia"/>
          <w:sz w:val="24"/>
        </w:rPr>
        <w:t>2016</w:t>
      </w:r>
      <w:r>
        <w:rPr>
          <w:rFonts w:hAnsiTheme="minorEastAsia" w:eastAsiaTheme="minorEastAsia"/>
          <w:sz w:val="24"/>
        </w:rPr>
        <w:t>年，我国居民人均肉类消费量为</w:t>
      </w:r>
      <w:r>
        <w:rPr>
          <w:rFonts w:eastAsiaTheme="minorEastAsia"/>
          <w:sz w:val="24"/>
        </w:rPr>
        <w:t>26.1 kg</w:t>
      </w:r>
      <w:r>
        <w:rPr>
          <w:rFonts w:hAnsiTheme="minorEastAsia" w:eastAsiaTheme="minorEastAsia"/>
          <w:sz w:val="24"/>
        </w:rPr>
        <w:t>，其中猪肉为</w:t>
      </w:r>
      <w:r>
        <w:rPr>
          <w:rFonts w:eastAsiaTheme="minorEastAsia"/>
          <w:sz w:val="24"/>
        </w:rPr>
        <w:t>19.6 kg</w:t>
      </w:r>
      <w:r>
        <w:rPr>
          <w:rFonts w:hAnsiTheme="minorEastAsia" w:eastAsiaTheme="minorEastAsia"/>
          <w:sz w:val="24"/>
        </w:rPr>
        <w:t>，占</w:t>
      </w:r>
      <w:r>
        <w:rPr>
          <w:rFonts w:eastAsiaTheme="minorEastAsia"/>
          <w:sz w:val="24"/>
        </w:rPr>
        <w:t>75.1%</w:t>
      </w:r>
      <w:r>
        <w:rPr>
          <w:rFonts w:hAnsiTheme="minorEastAsia" w:eastAsiaTheme="minorEastAsia"/>
          <w:sz w:val="24"/>
        </w:rPr>
        <w:t>。作为我国最主要肉类来源的猪肉，显然在食源性疾病感染事件中扮演着及其重要的角色。食源性寄生虫就是其中引发动物性食品安全事故的一类重要病原。</w:t>
      </w:r>
      <w:r>
        <w:rPr>
          <w:rFonts w:eastAsiaTheme="minorEastAsia"/>
          <w:kern w:val="0"/>
          <w:sz w:val="24"/>
        </w:rPr>
        <w:t>2014</w:t>
      </w:r>
      <w:r>
        <w:rPr>
          <w:rFonts w:hAnsiTheme="minorEastAsia" w:eastAsiaTheme="minorEastAsia"/>
          <w:kern w:val="0"/>
          <w:sz w:val="24"/>
        </w:rPr>
        <w:t>年，联合国粮农组织（</w:t>
      </w:r>
      <w:r>
        <w:rPr>
          <w:rFonts w:eastAsiaTheme="minorEastAsia"/>
          <w:kern w:val="0"/>
          <w:sz w:val="24"/>
        </w:rPr>
        <w:t>Food and agriculture organization, FAO</w:t>
      </w:r>
      <w:r>
        <w:rPr>
          <w:rFonts w:hAnsiTheme="minorEastAsia" w:eastAsiaTheme="minorEastAsia"/>
          <w:kern w:val="0"/>
          <w:sz w:val="24"/>
        </w:rPr>
        <w:t>）和</w:t>
      </w:r>
      <w:r>
        <w:rPr>
          <w:rFonts w:eastAsiaTheme="minorEastAsia"/>
          <w:kern w:val="0"/>
          <w:sz w:val="24"/>
        </w:rPr>
        <w:t>WHO</w:t>
      </w:r>
      <w:r>
        <w:rPr>
          <w:rFonts w:hAnsiTheme="minorEastAsia" w:eastAsiaTheme="minorEastAsia"/>
          <w:kern w:val="0"/>
          <w:sz w:val="24"/>
        </w:rPr>
        <w:t>根据全球患病人数、全球分布情况、发病的严重程度、病死率、加重疾病的潜力、寄生虫</w:t>
      </w:r>
      <w:r>
        <w:rPr>
          <w:rFonts w:eastAsiaTheme="minorEastAsia"/>
          <w:kern w:val="0"/>
          <w:sz w:val="24"/>
        </w:rPr>
        <w:t>-</w:t>
      </w:r>
      <w:r>
        <w:rPr>
          <w:rFonts w:hAnsiTheme="minorEastAsia" w:eastAsiaTheme="minorEastAsia"/>
          <w:kern w:val="0"/>
          <w:sz w:val="24"/>
        </w:rPr>
        <w:t>食物途径与国际贸易的关系、对经济的影响程度和范围等方面对食源性寄生虫进行评分，发现</w:t>
      </w:r>
      <w:r>
        <w:rPr>
          <w:rFonts w:eastAsiaTheme="minorEastAsia"/>
          <w:sz w:val="24"/>
        </w:rPr>
        <w:t>24</w:t>
      </w:r>
      <w:r>
        <w:rPr>
          <w:rFonts w:hAnsiTheme="minorEastAsia" w:eastAsiaTheme="minorEastAsia"/>
          <w:sz w:val="24"/>
        </w:rPr>
        <w:t>种寄生虫的危害较大，跌宫绦虫就包含</w:t>
      </w:r>
      <w:r>
        <w:rPr>
          <w:rFonts w:hint="eastAsia" w:hAnsiTheme="minorEastAsia" w:eastAsiaTheme="minorEastAsia"/>
          <w:sz w:val="24"/>
        </w:rPr>
        <w:t>在</w:t>
      </w:r>
      <w:r>
        <w:rPr>
          <w:rFonts w:hAnsiTheme="minorEastAsia" w:eastAsiaTheme="minorEastAsia"/>
          <w:sz w:val="24"/>
        </w:rPr>
        <w:t>其中（</w:t>
      </w:r>
      <w:r>
        <w:rPr>
          <w:rFonts w:eastAsiaTheme="minorEastAsia"/>
          <w:sz w:val="24"/>
        </w:rPr>
        <w:t>Robertson et al, 2013</w:t>
      </w:r>
      <w:r>
        <w:rPr>
          <w:rFonts w:hAnsiTheme="minorEastAsia" w:eastAsiaTheme="minorEastAsia"/>
          <w:sz w:val="24"/>
        </w:rPr>
        <w:t>）。</w:t>
      </w:r>
    </w:p>
    <w:p w14:paraId="1927C600">
      <w:pPr>
        <w:adjustRightInd w:val="0"/>
        <w:snapToGrid w:val="0"/>
        <w:spacing w:line="360" w:lineRule="auto"/>
        <w:ind w:firstLine="480"/>
        <w:jc w:val="left"/>
        <w:rPr>
          <w:rFonts w:eastAsiaTheme="minorEastAsia"/>
          <w:kern w:val="0"/>
          <w:sz w:val="24"/>
        </w:rPr>
      </w:pPr>
      <w:r>
        <w:rPr>
          <w:rFonts w:hAnsiTheme="minorEastAsia" w:eastAsiaTheme="minorEastAsia"/>
          <w:sz w:val="24"/>
        </w:rPr>
        <w:t>迭宫绦虫的幼虫裂头蚴可寄生于人体的不同部位，其中眼裂头蚴病最常见，可引起眼脸红肿、结膜充血、奇痒、流泪，伴发热、恶心和呕吐，眼球运动障碍，严重者视角膜溃疡，并发白内障而失明；皮下裂头蚴病导致皮下结节、瘙痒、炎症、触痛或持续疼痛；脑裂头蚴病常阵发头痛，严重时昏迷、呕吐、视力模糊、肢体麻木甚至瘫痪；内脏裂头蚴病可引起呼吸道咳血、消化道炎症、尿道或膀胱炎症，后果严重。迭宫绦虫呈世界性分布，亚洲常见人患病的报道，全球病例超过</w:t>
      </w:r>
      <w:r>
        <w:rPr>
          <w:rFonts w:eastAsiaTheme="minorEastAsia"/>
          <w:sz w:val="24"/>
        </w:rPr>
        <w:t>1 400</w:t>
      </w:r>
      <w:r>
        <w:rPr>
          <w:rFonts w:hAnsiTheme="minorEastAsia" w:eastAsiaTheme="minorEastAsia"/>
          <w:sz w:val="24"/>
        </w:rPr>
        <w:t>例，我国</w:t>
      </w:r>
      <w:r>
        <w:rPr>
          <w:rFonts w:eastAsiaTheme="minorEastAsia"/>
          <w:sz w:val="24"/>
        </w:rPr>
        <w:t>1000</w:t>
      </w:r>
      <w:r>
        <w:rPr>
          <w:rFonts w:hAnsiTheme="minorEastAsia" w:eastAsiaTheme="minorEastAsia"/>
          <w:sz w:val="24"/>
        </w:rPr>
        <w:t>多例，尤以南方省区多见。近年来，该病发病率呈上升趋势，尤其脑脊髓裂头蚴病的比例明显增高，成为我国重要的人兽共患食源性寄生虫病之一。</w:t>
      </w:r>
    </w:p>
    <w:p w14:paraId="50FEC751">
      <w:pPr>
        <w:adjustRightInd w:val="0"/>
        <w:snapToGrid w:val="0"/>
        <w:spacing w:line="360" w:lineRule="auto"/>
        <w:ind w:firstLine="420"/>
        <w:rPr>
          <w:rFonts w:eastAsiaTheme="minorEastAsia"/>
          <w:color w:val="00B0F0"/>
          <w:sz w:val="24"/>
        </w:rPr>
      </w:pPr>
      <w:r>
        <w:rPr>
          <w:rFonts w:eastAsiaTheme="minorEastAsia"/>
          <w:sz w:val="24"/>
        </w:rPr>
        <w:t>1991-2001</w:t>
      </w:r>
      <w:r>
        <w:rPr>
          <w:rFonts w:hAnsiTheme="minorEastAsia" w:eastAsiaTheme="minorEastAsia"/>
          <w:sz w:val="24"/>
        </w:rPr>
        <w:t>年上海卢湾区居民患寄生虫病住院病人中，由食源性寄生虫引发的占</w:t>
      </w:r>
      <w:r>
        <w:rPr>
          <w:rFonts w:eastAsiaTheme="minorEastAsia"/>
          <w:sz w:val="24"/>
        </w:rPr>
        <w:t>45.9%</w:t>
      </w:r>
      <w:r>
        <w:rPr>
          <w:rFonts w:hAnsiTheme="minorEastAsia" w:eastAsiaTheme="minorEastAsia"/>
          <w:sz w:val="24"/>
        </w:rPr>
        <w:t>，其中裂头蚴病占</w:t>
      </w:r>
      <w:r>
        <w:rPr>
          <w:rFonts w:eastAsiaTheme="minorEastAsia"/>
          <w:sz w:val="24"/>
        </w:rPr>
        <w:t>0.78%</w:t>
      </w:r>
      <w:r>
        <w:rPr>
          <w:rFonts w:hAnsiTheme="minorEastAsia" w:eastAsiaTheme="minorEastAsia"/>
          <w:sz w:val="24"/>
        </w:rPr>
        <w:t>。</w:t>
      </w:r>
      <w:r>
        <w:rPr>
          <w:rFonts w:hAnsiTheme="minorEastAsia" w:eastAsiaTheme="minorEastAsia"/>
          <w:kern w:val="0"/>
          <w:sz w:val="24"/>
        </w:rPr>
        <w:t>陈韶红等（</w:t>
      </w:r>
      <w:r>
        <w:rPr>
          <w:rFonts w:eastAsiaTheme="minorEastAsia"/>
          <w:kern w:val="0"/>
          <w:sz w:val="24"/>
        </w:rPr>
        <w:t>2014</w:t>
      </w:r>
      <w:r>
        <w:rPr>
          <w:rFonts w:hAnsiTheme="minorEastAsia" w:eastAsiaTheme="minorEastAsia"/>
          <w:kern w:val="0"/>
          <w:sz w:val="24"/>
        </w:rPr>
        <w:t>）对</w:t>
      </w:r>
      <w:r>
        <w:rPr>
          <w:rFonts w:eastAsiaTheme="minorEastAsia"/>
          <w:kern w:val="0"/>
          <w:sz w:val="24"/>
        </w:rPr>
        <w:t xml:space="preserve">2011-2013 </w:t>
      </w:r>
      <w:r>
        <w:rPr>
          <w:rFonts w:hAnsiTheme="minorEastAsia" w:eastAsiaTheme="minorEastAsia"/>
          <w:kern w:val="0"/>
          <w:sz w:val="24"/>
        </w:rPr>
        <w:t>年上海临床医院送检样品进行了寄生虫检测结果分析，发现在送检的</w:t>
      </w:r>
      <w:r>
        <w:rPr>
          <w:rFonts w:eastAsiaTheme="minorEastAsia"/>
          <w:kern w:val="0"/>
          <w:sz w:val="24"/>
        </w:rPr>
        <w:t>10 212</w:t>
      </w:r>
      <w:r>
        <w:rPr>
          <w:rFonts w:hAnsiTheme="minorEastAsia" w:eastAsiaTheme="minorEastAsia"/>
          <w:kern w:val="0"/>
          <w:sz w:val="24"/>
        </w:rPr>
        <w:t>份血清样品中，曼氏迭宫绦虫占</w:t>
      </w:r>
      <w:r>
        <w:rPr>
          <w:rFonts w:eastAsiaTheme="minorEastAsia"/>
          <w:kern w:val="0"/>
          <w:sz w:val="24"/>
        </w:rPr>
        <w:t>17.5%</w:t>
      </w:r>
      <w:r>
        <w:rPr>
          <w:rFonts w:hAnsiTheme="minorEastAsia" w:eastAsiaTheme="minorEastAsia"/>
          <w:kern w:val="0"/>
          <w:sz w:val="24"/>
        </w:rPr>
        <w:t>（</w:t>
      </w:r>
      <w:r>
        <w:rPr>
          <w:rFonts w:eastAsiaTheme="minorEastAsia"/>
          <w:kern w:val="0"/>
          <w:sz w:val="24"/>
        </w:rPr>
        <w:t>128/730</w:t>
      </w:r>
      <w:r>
        <w:rPr>
          <w:rFonts w:hAnsiTheme="minorEastAsia" w:eastAsiaTheme="minorEastAsia"/>
          <w:kern w:val="0"/>
          <w:sz w:val="24"/>
        </w:rPr>
        <w:t>）；对</w:t>
      </w:r>
      <w:r>
        <w:rPr>
          <w:rFonts w:eastAsiaTheme="minorEastAsia"/>
          <w:kern w:val="0"/>
          <w:sz w:val="24"/>
        </w:rPr>
        <w:t>5939</w:t>
      </w:r>
      <w:r>
        <w:rPr>
          <w:rFonts w:hAnsiTheme="minorEastAsia" w:eastAsiaTheme="minorEastAsia"/>
          <w:kern w:val="0"/>
          <w:sz w:val="24"/>
        </w:rPr>
        <w:t>份粪便、痰液、体液和病理切片样品进行病原学检测，共检出曼氏跌宫绦虫</w:t>
      </w:r>
      <w:r>
        <w:rPr>
          <w:rFonts w:eastAsiaTheme="minorEastAsia"/>
          <w:kern w:val="0"/>
          <w:sz w:val="24"/>
        </w:rPr>
        <w:t>6</w:t>
      </w:r>
      <w:r>
        <w:rPr>
          <w:rFonts w:hAnsiTheme="minorEastAsia" w:eastAsiaTheme="minorEastAsia"/>
          <w:kern w:val="0"/>
          <w:sz w:val="24"/>
        </w:rPr>
        <w:t>例。</w:t>
      </w:r>
    </w:p>
    <w:p w14:paraId="429ED617">
      <w:pPr>
        <w:adjustRightInd w:val="0"/>
        <w:snapToGrid w:val="0"/>
        <w:spacing w:line="360" w:lineRule="auto"/>
        <w:ind w:firstLine="480" w:firstLineChars="200"/>
        <w:rPr>
          <w:rFonts w:eastAsiaTheme="minorEastAsia"/>
          <w:sz w:val="24"/>
        </w:rPr>
      </w:pPr>
      <w:r>
        <w:rPr>
          <w:rFonts w:hAnsiTheme="minorEastAsia" w:eastAsiaTheme="minorEastAsia"/>
          <w:sz w:val="24"/>
        </w:rPr>
        <w:t>然而，在</w:t>
      </w:r>
      <w:r>
        <w:rPr>
          <w:rFonts w:hint="eastAsia" w:hAnsiTheme="minorEastAsia" w:eastAsiaTheme="minorEastAsia"/>
          <w:sz w:val="24"/>
        </w:rPr>
        <w:t>动物源性食品生产</w:t>
      </w:r>
      <w:r>
        <w:rPr>
          <w:rFonts w:hAnsiTheme="minorEastAsia" w:eastAsiaTheme="minorEastAsia"/>
          <w:sz w:val="24"/>
        </w:rPr>
        <w:t>产业链中，对</w:t>
      </w:r>
      <w:r>
        <w:rPr>
          <w:rFonts w:hint="eastAsia" w:hAnsiTheme="minorEastAsia" w:eastAsiaTheme="minorEastAsia"/>
          <w:sz w:val="24"/>
        </w:rPr>
        <w:t>畜禽</w:t>
      </w:r>
      <w:r>
        <w:rPr>
          <w:rFonts w:hAnsiTheme="minorEastAsia" w:eastAsiaTheme="minorEastAsia"/>
          <w:sz w:val="24"/>
        </w:rPr>
        <w:t>生长危害重大的疫病在养殖场受到重视，危害小但严重危害食品安全的病原如裂头蚴长期被忽视；少量检疫性病原如旋毛虫在屠宰环节得到重视，大量严重危害</w:t>
      </w:r>
      <w:r>
        <w:rPr>
          <w:rFonts w:hint="eastAsia" w:hAnsiTheme="minorEastAsia" w:eastAsiaTheme="minorEastAsia"/>
          <w:sz w:val="24"/>
        </w:rPr>
        <w:t>畜禽</w:t>
      </w:r>
      <w:r>
        <w:rPr>
          <w:rFonts w:hAnsiTheme="minorEastAsia" w:eastAsiaTheme="minorEastAsia"/>
          <w:sz w:val="24"/>
        </w:rPr>
        <w:t>产品安全的病原检测阙如；贮藏、运输和销售环节基本没有监测，从而使动物性食品存在极大的安全隐患。</w:t>
      </w:r>
    </w:p>
    <w:p w14:paraId="4C81F049">
      <w:pPr>
        <w:adjustRightInd w:val="0"/>
        <w:snapToGrid w:val="0"/>
        <w:spacing w:line="360" w:lineRule="auto"/>
        <w:ind w:firstLine="480" w:firstLineChars="200"/>
        <w:rPr>
          <w:rFonts w:eastAsiaTheme="minorEastAsia"/>
          <w:sz w:val="24"/>
        </w:rPr>
      </w:pPr>
      <w:r>
        <w:rPr>
          <w:rFonts w:hAnsiTheme="minorEastAsia" w:eastAsiaTheme="minorEastAsia"/>
          <w:sz w:val="24"/>
        </w:rPr>
        <w:t>然而，迄今</w:t>
      </w:r>
      <w:r>
        <w:rPr>
          <w:rFonts w:hint="eastAsia" w:hAnsiTheme="minorEastAsia" w:eastAsiaTheme="minorEastAsia"/>
          <w:sz w:val="24"/>
        </w:rPr>
        <w:t>我国</w:t>
      </w:r>
      <w:r>
        <w:rPr>
          <w:rFonts w:hAnsiTheme="minorEastAsia" w:eastAsiaTheme="minorEastAsia"/>
          <w:sz w:val="24"/>
        </w:rPr>
        <w:t>尚无动物</w:t>
      </w:r>
      <w:r>
        <w:rPr>
          <w:rFonts w:hint="eastAsia" w:hAnsiTheme="minorEastAsia" w:eastAsiaTheme="minorEastAsia"/>
          <w:sz w:val="24"/>
        </w:rPr>
        <w:t>源性</w:t>
      </w:r>
      <w:r>
        <w:rPr>
          <w:rFonts w:hAnsiTheme="minorEastAsia" w:eastAsiaTheme="minorEastAsia"/>
          <w:sz w:val="24"/>
        </w:rPr>
        <w:t>食品中</w:t>
      </w:r>
      <w:r>
        <w:rPr>
          <w:rFonts w:hint="eastAsia" w:hAnsiTheme="minorEastAsia" w:eastAsiaTheme="minorEastAsia"/>
          <w:sz w:val="24"/>
        </w:rPr>
        <w:t>跌宫绦虫</w:t>
      </w:r>
      <w:r>
        <w:rPr>
          <w:rFonts w:hAnsiTheme="minorEastAsia" w:eastAsiaTheme="minorEastAsia"/>
          <w:sz w:val="24"/>
        </w:rPr>
        <w:t>裂头蚴检测方法技术标准</w:t>
      </w:r>
      <w:r>
        <w:rPr>
          <w:rFonts w:hint="eastAsia" w:hAnsiTheme="minorEastAsia" w:eastAsiaTheme="minorEastAsia"/>
          <w:sz w:val="24"/>
        </w:rPr>
        <w:t>在实施</w:t>
      </w:r>
      <w:r>
        <w:rPr>
          <w:rFonts w:hAnsiTheme="minorEastAsia" w:eastAsiaTheme="minorEastAsia"/>
          <w:sz w:val="24"/>
        </w:rPr>
        <w:t>，仅有卫生标准《裂头蚴病的诊断》（</w:t>
      </w:r>
      <w:r>
        <w:rPr>
          <w:rFonts w:eastAsiaTheme="minorEastAsia"/>
          <w:kern w:val="0"/>
          <w:sz w:val="24"/>
        </w:rPr>
        <w:t>WS 438-2013 </w:t>
      </w:r>
      <w:r>
        <w:rPr>
          <w:rFonts w:hAnsiTheme="minorEastAsia" w:eastAsiaTheme="minorEastAsia"/>
          <w:sz w:val="24"/>
        </w:rPr>
        <w:t>）</w:t>
      </w:r>
      <w:r>
        <w:rPr>
          <w:rFonts w:hint="eastAsia" w:hAnsiTheme="minorEastAsia" w:eastAsiaTheme="minorEastAsia"/>
          <w:sz w:val="24"/>
        </w:rPr>
        <w:t>、</w:t>
      </w:r>
      <w:r>
        <w:rPr>
          <w:rFonts w:hAnsiTheme="minorEastAsia" w:eastAsiaTheme="minorEastAsia"/>
          <w:sz w:val="24"/>
        </w:rPr>
        <w:t>《裂头绦虫幼虫检测》（</w:t>
      </w:r>
      <w:r>
        <w:rPr>
          <w:rFonts w:eastAsiaTheme="minorEastAsia"/>
          <w:sz w:val="24"/>
        </w:rPr>
        <w:t>WS/T 571-2017</w:t>
      </w:r>
      <w:r>
        <w:rPr>
          <w:rFonts w:hAnsiTheme="minorEastAsia" w:eastAsiaTheme="minorEastAsia"/>
          <w:sz w:val="24"/>
        </w:rPr>
        <w:t>）。人裂头蚴病诊断标准不适合动物源性食品中裂头蚴的检测</w:t>
      </w:r>
      <w:r>
        <w:rPr>
          <w:rFonts w:hint="eastAsia" w:hAnsiTheme="minorEastAsia" w:eastAsiaTheme="minorEastAsia"/>
          <w:sz w:val="24"/>
        </w:rPr>
        <w:t>，水产品中寄生虫的检验技术标准也不适合畜禽等动物</w:t>
      </w:r>
      <w:r>
        <w:rPr>
          <w:rFonts w:hAnsiTheme="minorEastAsia" w:eastAsiaTheme="minorEastAsia"/>
          <w:sz w:val="24"/>
        </w:rPr>
        <w:t>。为规范检测、强化监管和执法，亟待建立动物性食品中裂头蚴</w:t>
      </w:r>
      <w:r>
        <w:rPr>
          <w:rFonts w:eastAsiaTheme="minorEastAsia"/>
          <w:sz w:val="24"/>
        </w:rPr>
        <w:t>PCR</w:t>
      </w:r>
      <w:r>
        <w:rPr>
          <w:rFonts w:hAnsiTheme="minorEastAsia" w:eastAsiaTheme="minorEastAsia"/>
          <w:sz w:val="24"/>
        </w:rPr>
        <w:t>检测方法技术标准，该标准的制定将极大提升动物源性食品中裂头蚴的检测工作，提升动物产品的质量安全水平。</w:t>
      </w:r>
    </w:p>
    <w:p w14:paraId="5F58B21D">
      <w:pPr>
        <w:pStyle w:val="3"/>
        <w:keepNext w:val="0"/>
        <w:keepLines w:val="0"/>
        <w:wordWrap w:val="0"/>
        <w:ind w:firstLine="562"/>
        <w:rPr>
          <w:sz w:val="28"/>
        </w:rPr>
      </w:pPr>
      <w:r>
        <w:rPr>
          <w:sz w:val="28"/>
        </w:rPr>
        <w:t>（二）起草单位</w:t>
      </w:r>
      <w:r>
        <w:rPr>
          <w:rFonts w:hint="eastAsia"/>
          <w:sz w:val="28"/>
        </w:rPr>
        <w:t>和主要起草人及其所做的工作</w:t>
      </w:r>
    </w:p>
    <w:p w14:paraId="731DA9B8">
      <w:pPr>
        <w:adjustRightInd w:val="0"/>
        <w:snapToGrid w:val="0"/>
        <w:spacing w:line="360" w:lineRule="auto"/>
        <w:rPr>
          <w:rFonts w:eastAsiaTheme="minorEastAsia"/>
          <w:bCs/>
          <w:sz w:val="24"/>
        </w:rPr>
      </w:pPr>
      <w:r>
        <w:rPr>
          <w:rFonts w:eastAsiaTheme="minorEastAsia"/>
          <w:b/>
          <w:sz w:val="24"/>
        </w:rPr>
        <w:t xml:space="preserve">   </w:t>
      </w:r>
    </w:p>
    <w:p w14:paraId="2E35300A">
      <w:pPr>
        <w:pStyle w:val="3"/>
        <w:keepNext w:val="0"/>
        <w:keepLines w:val="0"/>
        <w:wordWrap w:val="0"/>
        <w:ind w:firstLine="562"/>
        <w:rPr>
          <w:sz w:val="28"/>
        </w:rPr>
      </w:pPr>
      <w:r>
        <w:rPr>
          <w:sz w:val="28"/>
        </w:rPr>
        <w:t>（三）主要工作过程</w:t>
      </w:r>
    </w:p>
    <w:p w14:paraId="5DBF3A77">
      <w:pPr>
        <w:adjustRightInd w:val="0"/>
        <w:snapToGrid w:val="0"/>
        <w:spacing w:line="360" w:lineRule="auto"/>
        <w:ind w:firstLine="420"/>
        <w:rPr>
          <w:rFonts w:eastAsiaTheme="minorEastAsia"/>
          <w:color w:val="00B0F0"/>
          <w:sz w:val="24"/>
        </w:rPr>
      </w:pPr>
      <w:r>
        <w:rPr>
          <w:rFonts w:hAnsiTheme="minorEastAsia" w:eastAsiaTheme="minorEastAsia"/>
          <w:color w:val="00B0F0"/>
          <w:sz w:val="24"/>
        </w:rPr>
        <w:t>要按标准各阶段为单位分别编写。列出各阶段的关键内容。征求意见、审查阶段的主要内容要详细给出。征求意见要对征求对象的代表性、回复情况、意见处理情况进行总结说明。</w:t>
      </w:r>
    </w:p>
    <w:p w14:paraId="1BFA8F0D">
      <w:pPr>
        <w:pStyle w:val="14"/>
        <w:numPr>
          <w:ilvl w:val="0"/>
          <w:numId w:val="1"/>
        </w:numPr>
        <w:snapToGrid w:val="0"/>
        <w:spacing w:line="360" w:lineRule="auto"/>
        <w:rPr>
          <w:rFonts w:ascii="Times New Roman" w:hAnsi="Times New Roman" w:cs="Times New Roman" w:eastAsiaTheme="minorEastAsia"/>
          <w:b/>
          <w:color w:val="000000" w:themeColor="text1"/>
          <w14:textFill>
            <w14:solidFill>
              <w14:schemeClr w14:val="tx1"/>
            </w14:solidFill>
          </w14:textFill>
        </w:rPr>
      </w:pPr>
      <w:r>
        <w:rPr>
          <w:rFonts w:ascii="Times New Roman" w:cs="Times New Roman" w:hAnsiTheme="minorEastAsia" w:eastAsiaTheme="minorEastAsia"/>
          <w:b/>
          <w:color w:val="000000" w:themeColor="text1"/>
          <w14:textFill>
            <w14:solidFill>
              <w14:schemeClr w14:val="tx1"/>
            </w14:solidFill>
          </w14:textFill>
        </w:rPr>
        <w:t>起草阶段（</w:t>
      </w:r>
      <w:r>
        <w:rPr>
          <w:rFonts w:ascii="Times New Roman" w:hAnsi="Times New Roman" w:cs="Times New Roman" w:eastAsiaTheme="minorEastAsia"/>
          <w:b/>
        </w:rPr>
        <w:t>2014</w:t>
      </w:r>
      <w:r>
        <w:rPr>
          <w:rFonts w:ascii="Times New Roman" w:cs="Times New Roman" w:hAnsiTheme="minorEastAsia" w:eastAsiaTheme="minorEastAsia"/>
          <w:b/>
        </w:rPr>
        <w:t>年</w:t>
      </w:r>
      <w:r>
        <w:rPr>
          <w:rFonts w:ascii="Times New Roman" w:hAnsi="Times New Roman" w:cs="Times New Roman" w:eastAsiaTheme="minorEastAsia"/>
          <w:b/>
        </w:rPr>
        <w:t>10</w:t>
      </w:r>
      <w:r>
        <w:rPr>
          <w:rFonts w:ascii="Times New Roman" w:cs="Times New Roman" w:hAnsiTheme="minorEastAsia" w:eastAsiaTheme="minorEastAsia"/>
          <w:b/>
        </w:rPr>
        <w:t>月</w:t>
      </w:r>
      <w:r>
        <w:rPr>
          <w:rFonts w:ascii="Times New Roman" w:hAnsi="Times New Roman" w:cs="Times New Roman" w:eastAsiaTheme="minorEastAsia"/>
          <w:b/>
        </w:rPr>
        <w:t>-2019</w:t>
      </w:r>
      <w:r>
        <w:rPr>
          <w:rFonts w:ascii="Times New Roman" w:cs="Times New Roman" w:hAnsiTheme="minorEastAsia" w:eastAsiaTheme="minorEastAsia"/>
          <w:b/>
        </w:rPr>
        <w:t>年</w:t>
      </w:r>
      <w:r>
        <w:rPr>
          <w:rFonts w:ascii="Times New Roman" w:hAnsi="Times New Roman" w:cs="Times New Roman" w:eastAsiaTheme="minorEastAsia"/>
          <w:b/>
        </w:rPr>
        <w:t>6</w:t>
      </w:r>
      <w:r>
        <w:rPr>
          <w:rFonts w:ascii="Times New Roman" w:cs="Times New Roman" w:hAnsiTheme="minorEastAsia" w:eastAsiaTheme="minorEastAsia"/>
          <w:b/>
        </w:rPr>
        <w:t>月</w:t>
      </w:r>
      <w:r>
        <w:rPr>
          <w:rFonts w:ascii="Times New Roman" w:cs="Times New Roman" w:hAnsiTheme="minorEastAsia" w:eastAsiaTheme="minorEastAsia"/>
          <w:b/>
          <w:color w:val="000000" w:themeColor="text1"/>
          <w14:textFill>
            <w14:solidFill>
              <w14:schemeClr w14:val="tx1"/>
            </w14:solidFill>
          </w14:textFill>
        </w:rPr>
        <w:t>）</w:t>
      </w:r>
    </w:p>
    <w:p w14:paraId="2DA5BD57">
      <w:pPr>
        <w:adjustRightInd w:val="0"/>
        <w:snapToGrid w:val="0"/>
        <w:spacing w:line="360" w:lineRule="auto"/>
        <w:ind w:left="482"/>
        <w:rPr>
          <w:rFonts w:eastAsiaTheme="minorEastAsia"/>
          <w:b/>
          <w:sz w:val="24"/>
        </w:rPr>
      </w:pPr>
      <w:r>
        <w:rPr>
          <w:rFonts w:hAnsiTheme="minorEastAsia" w:eastAsiaTheme="minorEastAsia"/>
          <w:b/>
          <w:bCs/>
          <w:sz w:val="24"/>
        </w:rPr>
        <w:t>（</w:t>
      </w:r>
      <w:r>
        <w:rPr>
          <w:rFonts w:eastAsiaTheme="minorEastAsia"/>
          <w:b/>
          <w:bCs/>
          <w:sz w:val="24"/>
        </w:rPr>
        <w:t>1</w:t>
      </w:r>
      <w:r>
        <w:rPr>
          <w:rFonts w:hAnsiTheme="minorEastAsia" w:eastAsiaTheme="minorEastAsia"/>
          <w:b/>
          <w:bCs/>
          <w:sz w:val="24"/>
        </w:rPr>
        <w:t>）</w:t>
      </w:r>
      <w:r>
        <w:rPr>
          <w:rFonts w:hAnsiTheme="minorEastAsia" w:eastAsiaTheme="minorEastAsia"/>
          <w:b/>
          <w:sz w:val="24"/>
        </w:rPr>
        <w:t>了解和学习阶段（</w:t>
      </w:r>
      <w:r>
        <w:rPr>
          <w:rFonts w:eastAsiaTheme="minorEastAsia"/>
          <w:b/>
          <w:sz w:val="24"/>
        </w:rPr>
        <w:t>2014</w:t>
      </w:r>
      <w:r>
        <w:rPr>
          <w:rFonts w:hAnsiTheme="minorEastAsia" w:eastAsiaTheme="minorEastAsia"/>
          <w:b/>
          <w:sz w:val="24"/>
        </w:rPr>
        <w:t>年</w:t>
      </w:r>
      <w:r>
        <w:rPr>
          <w:rFonts w:eastAsiaTheme="minorEastAsia"/>
          <w:b/>
          <w:sz w:val="24"/>
        </w:rPr>
        <w:t>10</w:t>
      </w:r>
      <w:r>
        <w:rPr>
          <w:rFonts w:hAnsiTheme="minorEastAsia" w:eastAsiaTheme="minorEastAsia"/>
          <w:b/>
          <w:sz w:val="24"/>
        </w:rPr>
        <w:t>月</w:t>
      </w:r>
      <w:r>
        <w:rPr>
          <w:rFonts w:eastAsiaTheme="minorEastAsia"/>
          <w:b/>
          <w:sz w:val="24"/>
        </w:rPr>
        <w:t>-2015</w:t>
      </w:r>
      <w:r>
        <w:rPr>
          <w:rFonts w:hAnsiTheme="minorEastAsia" w:eastAsiaTheme="minorEastAsia"/>
          <w:b/>
          <w:sz w:val="24"/>
        </w:rPr>
        <w:t>年</w:t>
      </w:r>
      <w:r>
        <w:rPr>
          <w:rFonts w:eastAsiaTheme="minorEastAsia"/>
          <w:b/>
          <w:sz w:val="24"/>
        </w:rPr>
        <w:t>3</w:t>
      </w:r>
      <w:r>
        <w:rPr>
          <w:rFonts w:hAnsiTheme="minorEastAsia" w:eastAsiaTheme="minorEastAsia"/>
          <w:b/>
          <w:sz w:val="24"/>
        </w:rPr>
        <w:t>月）</w:t>
      </w:r>
    </w:p>
    <w:p w14:paraId="1D09FE1E">
      <w:pPr>
        <w:adjustRightInd w:val="0"/>
        <w:snapToGrid w:val="0"/>
        <w:spacing w:line="360" w:lineRule="auto"/>
        <w:ind w:firstLine="480" w:firstLineChars="200"/>
        <w:rPr>
          <w:rFonts w:eastAsiaTheme="minorEastAsia"/>
          <w:bCs/>
          <w:sz w:val="24"/>
        </w:rPr>
      </w:pPr>
      <w:r>
        <w:rPr>
          <w:rFonts w:hAnsiTheme="minorEastAsia" w:eastAsiaTheme="minorEastAsia"/>
          <w:sz w:val="24"/>
        </w:rPr>
        <w:t>主要了解和学习了裂头蚴病研究进展、国内外</w:t>
      </w:r>
      <w:r>
        <w:rPr>
          <w:rFonts w:hint="eastAsia" w:hAnsiTheme="minorEastAsia" w:eastAsiaTheme="minorEastAsia"/>
          <w:sz w:val="24"/>
        </w:rPr>
        <w:t>动物源性食品中</w:t>
      </w:r>
      <w:r>
        <w:rPr>
          <w:rFonts w:hAnsiTheme="minorEastAsia" w:eastAsiaTheme="minorEastAsia"/>
          <w:sz w:val="24"/>
        </w:rPr>
        <w:t>裂头蚴最常使用的</w:t>
      </w:r>
      <w:r>
        <w:rPr>
          <w:rFonts w:hint="eastAsia" w:hAnsiTheme="minorEastAsia" w:eastAsiaTheme="minorEastAsia"/>
          <w:sz w:val="24"/>
        </w:rPr>
        <w:t>检测</w:t>
      </w:r>
      <w:r>
        <w:rPr>
          <w:rFonts w:hAnsiTheme="minorEastAsia" w:eastAsiaTheme="minorEastAsia"/>
          <w:sz w:val="24"/>
        </w:rPr>
        <w:t>技术及其优缺点。同时，了解了国内外人和动物裂头蚴现有</w:t>
      </w:r>
      <w:r>
        <w:rPr>
          <w:rFonts w:hint="eastAsia" w:hAnsiTheme="minorEastAsia" w:eastAsiaTheme="minorEastAsia"/>
          <w:sz w:val="24"/>
        </w:rPr>
        <w:t>检测技术</w:t>
      </w:r>
      <w:r>
        <w:rPr>
          <w:rFonts w:hAnsiTheme="minorEastAsia" w:eastAsiaTheme="minorEastAsia"/>
          <w:sz w:val="24"/>
        </w:rPr>
        <w:t>标准，尤其是卫生行业标准《裂头蚴病的诊断》（</w:t>
      </w:r>
      <w:r>
        <w:rPr>
          <w:rFonts w:eastAsiaTheme="minorEastAsia"/>
          <w:color w:val="333333"/>
          <w:kern w:val="0"/>
          <w:sz w:val="24"/>
        </w:rPr>
        <w:t>WS 438-2013 </w:t>
      </w:r>
      <w:r>
        <w:rPr>
          <w:rFonts w:hAnsiTheme="minorEastAsia" w:eastAsiaTheme="minorEastAsia"/>
          <w:sz w:val="24"/>
        </w:rPr>
        <w:t>）等。</w:t>
      </w:r>
    </w:p>
    <w:p w14:paraId="387EC1F9">
      <w:pPr>
        <w:adjustRightInd w:val="0"/>
        <w:snapToGrid w:val="0"/>
        <w:spacing w:line="360" w:lineRule="auto"/>
        <w:ind w:firstLine="482" w:firstLineChars="200"/>
        <w:rPr>
          <w:rFonts w:eastAsiaTheme="minorEastAsia"/>
          <w:b/>
          <w:sz w:val="24"/>
        </w:rPr>
      </w:pPr>
      <w:r>
        <w:rPr>
          <w:rFonts w:hAnsiTheme="minorEastAsia" w:eastAsiaTheme="minorEastAsia"/>
          <w:b/>
          <w:sz w:val="24"/>
        </w:rPr>
        <w:t>（</w:t>
      </w:r>
      <w:r>
        <w:rPr>
          <w:rFonts w:eastAsiaTheme="minorEastAsia"/>
          <w:b/>
          <w:sz w:val="24"/>
        </w:rPr>
        <w:t>2</w:t>
      </w:r>
      <w:r>
        <w:rPr>
          <w:rFonts w:hAnsiTheme="minorEastAsia" w:eastAsiaTheme="minorEastAsia"/>
          <w:b/>
          <w:sz w:val="24"/>
        </w:rPr>
        <w:t>）技术优化阶段（</w:t>
      </w:r>
      <w:r>
        <w:rPr>
          <w:rFonts w:eastAsiaTheme="minorEastAsia"/>
          <w:b/>
          <w:sz w:val="24"/>
        </w:rPr>
        <w:t>2015</w:t>
      </w:r>
      <w:r>
        <w:rPr>
          <w:rFonts w:hAnsiTheme="minorEastAsia" w:eastAsiaTheme="minorEastAsia"/>
          <w:b/>
          <w:sz w:val="24"/>
        </w:rPr>
        <w:t>年</w:t>
      </w:r>
      <w:r>
        <w:rPr>
          <w:rFonts w:eastAsiaTheme="minorEastAsia"/>
          <w:b/>
          <w:sz w:val="24"/>
        </w:rPr>
        <w:t>3</w:t>
      </w:r>
      <w:r>
        <w:rPr>
          <w:rFonts w:hAnsiTheme="minorEastAsia" w:eastAsiaTheme="minorEastAsia"/>
          <w:b/>
          <w:sz w:val="24"/>
        </w:rPr>
        <w:t>月</w:t>
      </w:r>
      <w:r>
        <w:rPr>
          <w:rFonts w:eastAsiaTheme="minorEastAsia"/>
          <w:b/>
          <w:sz w:val="24"/>
        </w:rPr>
        <w:t>-2019</w:t>
      </w:r>
      <w:r>
        <w:rPr>
          <w:rFonts w:hAnsiTheme="minorEastAsia" w:eastAsiaTheme="minorEastAsia"/>
          <w:b/>
          <w:sz w:val="24"/>
        </w:rPr>
        <w:t>年</w:t>
      </w:r>
      <w:r>
        <w:rPr>
          <w:rFonts w:eastAsiaTheme="minorEastAsia"/>
          <w:b/>
          <w:sz w:val="24"/>
        </w:rPr>
        <w:t>3</w:t>
      </w:r>
      <w:r>
        <w:rPr>
          <w:rFonts w:hAnsiTheme="minorEastAsia" w:eastAsiaTheme="minorEastAsia"/>
          <w:b/>
          <w:sz w:val="24"/>
        </w:rPr>
        <w:t>月）</w:t>
      </w:r>
    </w:p>
    <w:p w14:paraId="1ADE3BBB">
      <w:pPr>
        <w:adjustRightInd w:val="0"/>
        <w:snapToGrid w:val="0"/>
        <w:spacing w:line="360" w:lineRule="auto"/>
        <w:ind w:firstLine="480" w:firstLineChars="200"/>
        <w:rPr>
          <w:rFonts w:eastAsiaTheme="minorEastAsia"/>
          <w:sz w:val="24"/>
        </w:rPr>
      </w:pPr>
      <w:r>
        <w:rPr>
          <w:rFonts w:hAnsiTheme="minorEastAsia" w:eastAsiaTheme="minorEastAsia"/>
          <w:sz w:val="24"/>
        </w:rPr>
        <w:t>自</w:t>
      </w:r>
      <w:r>
        <w:rPr>
          <w:rFonts w:eastAsiaTheme="minorEastAsia"/>
          <w:sz w:val="24"/>
        </w:rPr>
        <w:t>2015</w:t>
      </w:r>
      <w:r>
        <w:rPr>
          <w:rFonts w:hAnsiTheme="minorEastAsia" w:eastAsiaTheme="minorEastAsia"/>
          <w:sz w:val="24"/>
        </w:rPr>
        <w:t>年</w:t>
      </w:r>
      <w:r>
        <w:rPr>
          <w:rFonts w:eastAsiaTheme="minorEastAsia"/>
          <w:sz w:val="24"/>
        </w:rPr>
        <w:t>3</w:t>
      </w:r>
      <w:r>
        <w:rPr>
          <w:rFonts w:hint="eastAsia" w:eastAsiaTheme="minorEastAsia"/>
          <w:sz w:val="24"/>
          <w:lang w:val="en-US" w:eastAsia="zh-CN"/>
        </w:rPr>
        <w:t>月</w:t>
      </w:r>
      <w:bookmarkStart w:id="4" w:name="_GoBack"/>
      <w:bookmarkEnd w:id="4"/>
      <w:r>
        <w:rPr>
          <w:rFonts w:hAnsiTheme="minorEastAsia" w:eastAsiaTheme="minorEastAsia"/>
          <w:sz w:val="24"/>
        </w:rPr>
        <w:t>起，对国内外报道的</w:t>
      </w:r>
      <w:r>
        <w:rPr>
          <w:rFonts w:hint="eastAsia" w:hAnsiTheme="minorEastAsia" w:eastAsiaTheme="minorEastAsia"/>
          <w:sz w:val="24"/>
        </w:rPr>
        <w:t>动物源性食品中</w:t>
      </w:r>
      <w:r>
        <w:rPr>
          <w:rFonts w:hAnsiTheme="minorEastAsia" w:eastAsiaTheme="minorEastAsia"/>
          <w:sz w:val="24"/>
        </w:rPr>
        <w:t>裂头蚴病原学</w:t>
      </w:r>
      <w:r>
        <w:rPr>
          <w:rFonts w:hint="eastAsia" w:hAnsiTheme="minorEastAsia" w:eastAsiaTheme="minorEastAsia"/>
          <w:sz w:val="24"/>
        </w:rPr>
        <w:t>检测</w:t>
      </w:r>
      <w:r>
        <w:rPr>
          <w:rFonts w:hAnsiTheme="minorEastAsia" w:eastAsiaTheme="minorEastAsia"/>
          <w:sz w:val="24"/>
        </w:rPr>
        <w:t>、</w:t>
      </w:r>
      <w:r>
        <w:rPr>
          <w:rFonts w:eastAsiaTheme="minorEastAsia"/>
          <w:sz w:val="24"/>
        </w:rPr>
        <w:t>PCR</w:t>
      </w:r>
      <w:r>
        <w:rPr>
          <w:rFonts w:hint="eastAsia" w:eastAsiaTheme="minorEastAsia"/>
          <w:sz w:val="24"/>
        </w:rPr>
        <w:t>检测</w:t>
      </w:r>
      <w:r>
        <w:rPr>
          <w:rFonts w:hAnsiTheme="minorEastAsia" w:eastAsiaTheme="minorEastAsia"/>
          <w:sz w:val="24"/>
        </w:rPr>
        <w:t>技术进行了比较和优化，在实验室内相继建立了上述技术，并运用建立的技术，对田间采集的猪肉、蛙、蛇等样品进行了检测，对阳性样品进行了部分基因序列测定和系统进化发育研究。</w:t>
      </w:r>
    </w:p>
    <w:p w14:paraId="57F357C4">
      <w:pPr>
        <w:adjustRightInd w:val="0"/>
        <w:snapToGrid w:val="0"/>
        <w:spacing w:line="360" w:lineRule="auto"/>
        <w:ind w:firstLine="480" w:firstLineChars="200"/>
        <w:rPr>
          <w:rFonts w:eastAsiaTheme="minorEastAsia"/>
          <w:sz w:val="24"/>
        </w:rPr>
      </w:pPr>
      <w:r>
        <w:rPr>
          <w:rFonts w:eastAsiaTheme="minorEastAsia"/>
          <w:sz w:val="24"/>
        </w:rPr>
        <w:t>2016</w:t>
      </w:r>
      <w:r>
        <w:rPr>
          <w:rFonts w:hAnsiTheme="minorEastAsia" w:eastAsiaTheme="minorEastAsia"/>
          <w:sz w:val="24"/>
        </w:rPr>
        <w:t>年</w:t>
      </w:r>
      <w:r>
        <w:rPr>
          <w:rFonts w:eastAsiaTheme="minorEastAsia"/>
          <w:sz w:val="24"/>
        </w:rPr>
        <w:t>7</w:t>
      </w:r>
      <w:r>
        <w:rPr>
          <w:rFonts w:hAnsiTheme="minorEastAsia" w:eastAsiaTheme="minorEastAsia"/>
          <w:sz w:val="24"/>
        </w:rPr>
        <w:t>月起，对裂头蚴病免疫学</w:t>
      </w:r>
      <w:r>
        <w:rPr>
          <w:rFonts w:hint="eastAsia" w:hAnsiTheme="minorEastAsia" w:eastAsiaTheme="minorEastAsia"/>
          <w:sz w:val="24"/>
        </w:rPr>
        <w:t>检测</w:t>
      </w:r>
      <w:r>
        <w:rPr>
          <w:rFonts w:hAnsiTheme="minorEastAsia" w:eastAsiaTheme="minorEastAsia"/>
          <w:sz w:val="24"/>
        </w:rPr>
        <w:t>技术进行了研究，开展了曼氏裂头蚴免疫蛋白质组学研究，筛选获得了</w:t>
      </w:r>
      <w:r>
        <w:rPr>
          <w:rFonts w:eastAsiaTheme="minorEastAsia"/>
          <w:sz w:val="24"/>
        </w:rPr>
        <w:t>20</w:t>
      </w:r>
      <w:r>
        <w:rPr>
          <w:rFonts w:hAnsiTheme="minorEastAsia" w:eastAsiaTheme="minorEastAsia"/>
          <w:sz w:val="24"/>
        </w:rPr>
        <w:t>个潜在的免疫诊断抗原，开展了部分抗原基因的克隆、表达、免疫反应性研究；克隆表达了曼氏跌宫绦虫半胱氨酸蛋白酶（</w:t>
      </w:r>
      <w:r>
        <w:rPr>
          <w:rFonts w:eastAsiaTheme="minorEastAsia"/>
          <w:bCs/>
          <w:sz w:val="24"/>
        </w:rPr>
        <w:t>Cysteine Protease, CP</w:t>
      </w:r>
      <w:r>
        <w:rPr>
          <w:rFonts w:hAnsiTheme="minorEastAsia" w:eastAsiaTheme="minorEastAsia"/>
          <w:sz w:val="24"/>
        </w:rPr>
        <w:t>）编码基因的克隆、表达、重组蛋白反应原性研究，利用重组半胱氨酸蛋白酶（</w:t>
      </w:r>
      <w:r>
        <w:rPr>
          <w:rFonts w:eastAsiaTheme="minorEastAsia"/>
          <w:sz w:val="24"/>
        </w:rPr>
        <w:t>rSmCP</w:t>
      </w:r>
      <w:r>
        <w:rPr>
          <w:rFonts w:hAnsiTheme="minorEastAsia" w:eastAsiaTheme="minorEastAsia"/>
          <w:sz w:val="24"/>
        </w:rPr>
        <w:t>）建立了间接</w:t>
      </w:r>
      <w:r>
        <w:rPr>
          <w:rFonts w:eastAsiaTheme="minorEastAsia"/>
          <w:sz w:val="24"/>
        </w:rPr>
        <w:t>ELISA</w:t>
      </w:r>
      <w:r>
        <w:rPr>
          <w:rFonts w:hAnsiTheme="minorEastAsia" w:eastAsiaTheme="minorEastAsia"/>
          <w:sz w:val="24"/>
        </w:rPr>
        <w:t>诊断技术；制备了曼氏跌宫绦虫裂头蚴可溶性抗原和排泄分泌抗原，建立了间接</w:t>
      </w:r>
      <w:r>
        <w:rPr>
          <w:rFonts w:eastAsiaTheme="minorEastAsia"/>
          <w:sz w:val="24"/>
        </w:rPr>
        <w:t>ELISA</w:t>
      </w:r>
      <w:r>
        <w:rPr>
          <w:rFonts w:hAnsiTheme="minorEastAsia" w:eastAsiaTheme="minorEastAsia"/>
          <w:sz w:val="24"/>
        </w:rPr>
        <w:t>诊断技术；比较了上述</w:t>
      </w:r>
      <w:r>
        <w:rPr>
          <w:rFonts w:eastAsiaTheme="minorEastAsia"/>
          <w:sz w:val="24"/>
        </w:rPr>
        <w:t>ELISA</w:t>
      </w:r>
      <w:r>
        <w:rPr>
          <w:rFonts w:hAnsiTheme="minorEastAsia" w:eastAsiaTheme="minorEastAsia"/>
          <w:sz w:val="24"/>
        </w:rPr>
        <w:t>诊断方法的敏感性和特异性，并开展了现场样品的初步应用。</w:t>
      </w:r>
    </w:p>
    <w:p w14:paraId="6955F0FE">
      <w:pPr>
        <w:adjustRightInd w:val="0"/>
        <w:snapToGrid w:val="0"/>
        <w:spacing w:line="360" w:lineRule="auto"/>
        <w:ind w:firstLine="480" w:firstLineChars="200"/>
        <w:rPr>
          <w:rFonts w:eastAsiaTheme="minorEastAsia"/>
          <w:sz w:val="24"/>
        </w:rPr>
      </w:pPr>
      <w:r>
        <w:rPr>
          <w:rFonts w:hAnsiTheme="minorEastAsia" w:eastAsiaTheme="minorEastAsia"/>
          <w:sz w:val="24"/>
        </w:rPr>
        <w:t>通过上述研究和比较，并经田间样品检测和应用，最终确定目前申报的方法。</w:t>
      </w:r>
    </w:p>
    <w:p w14:paraId="13A61DA2">
      <w:pPr>
        <w:adjustRightInd w:val="0"/>
        <w:snapToGrid w:val="0"/>
        <w:spacing w:line="360" w:lineRule="auto"/>
        <w:ind w:firstLine="482" w:firstLineChars="200"/>
        <w:rPr>
          <w:rFonts w:eastAsiaTheme="minorEastAsia"/>
          <w:b/>
          <w:sz w:val="24"/>
        </w:rPr>
      </w:pPr>
      <w:r>
        <w:rPr>
          <w:rFonts w:hAnsiTheme="minorEastAsia" w:eastAsiaTheme="minorEastAsia"/>
          <w:b/>
          <w:sz w:val="24"/>
        </w:rPr>
        <w:t>（</w:t>
      </w:r>
      <w:r>
        <w:rPr>
          <w:rFonts w:eastAsiaTheme="minorEastAsia"/>
          <w:b/>
          <w:sz w:val="24"/>
        </w:rPr>
        <w:t>3</w:t>
      </w:r>
      <w:r>
        <w:rPr>
          <w:rFonts w:hAnsiTheme="minorEastAsia" w:eastAsiaTheme="minorEastAsia"/>
          <w:b/>
          <w:sz w:val="24"/>
        </w:rPr>
        <w:t>）起草阶段（</w:t>
      </w:r>
      <w:r>
        <w:rPr>
          <w:rFonts w:eastAsiaTheme="minorEastAsia"/>
          <w:b/>
          <w:sz w:val="24"/>
        </w:rPr>
        <w:t>2019</w:t>
      </w:r>
      <w:r>
        <w:rPr>
          <w:rFonts w:hAnsiTheme="minorEastAsia" w:eastAsiaTheme="minorEastAsia"/>
          <w:b/>
          <w:sz w:val="24"/>
        </w:rPr>
        <w:t>年</w:t>
      </w:r>
      <w:r>
        <w:rPr>
          <w:rFonts w:eastAsiaTheme="minorEastAsia"/>
          <w:b/>
          <w:sz w:val="24"/>
        </w:rPr>
        <w:t>4</w:t>
      </w:r>
      <w:r>
        <w:rPr>
          <w:rFonts w:hAnsiTheme="minorEastAsia" w:eastAsiaTheme="minorEastAsia"/>
          <w:b/>
          <w:sz w:val="24"/>
        </w:rPr>
        <w:t>月</w:t>
      </w:r>
      <w:r>
        <w:rPr>
          <w:rFonts w:eastAsiaTheme="minorEastAsia"/>
          <w:b/>
          <w:sz w:val="24"/>
        </w:rPr>
        <w:t>-2019</w:t>
      </w:r>
      <w:r>
        <w:rPr>
          <w:rFonts w:hAnsiTheme="minorEastAsia" w:eastAsiaTheme="minorEastAsia"/>
          <w:b/>
          <w:sz w:val="24"/>
        </w:rPr>
        <w:t>年</w:t>
      </w:r>
      <w:r>
        <w:rPr>
          <w:rFonts w:eastAsiaTheme="minorEastAsia"/>
          <w:b/>
          <w:sz w:val="24"/>
        </w:rPr>
        <w:t>6</w:t>
      </w:r>
      <w:r>
        <w:rPr>
          <w:rFonts w:hAnsiTheme="minorEastAsia" w:eastAsiaTheme="minorEastAsia"/>
          <w:b/>
          <w:sz w:val="24"/>
        </w:rPr>
        <w:t>月）</w:t>
      </w:r>
    </w:p>
    <w:p w14:paraId="6099D533">
      <w:pPr>
        <w:adjustRightInd w:val="0"/>
        <w:snapToGrid w:val="0"/>
        <w:spacing w:line="360" w:lineRule="auto"/>
        <w:ind w:firstLine="480" w:firstLineChars="200"/>
        <w:rPr>
          <w:rFonts w:eastAsiaTheme="minorEastAsia"/>
          <w:sz w:val="24"/>
        </w:rPr>
      </w:pPr>
      <w:r>
        <w:rPr>
          <w:rFonts w:hAnsiTheme="minorEastAsia" w:eastAsiaTheme="minorEastAsia"/>
          <w:sz w:val="24"/>
        </w:rPr>
        <w:t>根据国内外文献、前期研究进展，参考有关技术规范，进行了标准征求意见稿的起草。</w:t>
      </w:r>
    </w:p>
    <w:p w14:paraId="0E888282">
      <w:pPr>
        <w:pStyle w:val="14"/>
        <w:numPr>
          <w:ilvl w:val="0"/>
          <w:numId w:val="1"/>
        </w:numPr>
        <w:snapToGrid w:val="0"/>
        <w:spacing w:line="360" w:lineRule="auto"/>
        <w:rPr>
          <w:rFonts w:ascii="Times New Roman" w:hAnsi="Times New Roman" w:cs="Times New Roman" w:eastAsiaTheme="minorEastAsia"/>
          <w:b/>
          <w:color w:val="000000" w:themeColor="text1"/>
          <w14:textFill>
            <w14:solidFill>
              <w14:schemeClr w14:val="tx1"/>
            </w14:solidFill>
          </w14:textFill>
        </w:rPr>
      </w:pPr>
      <w:r>
        <w:rPr>
          <w:rFonts w:ascii="Times New Roman" w:cs="Times New Roman" w:hAnsiTheme="minorEastAsia" w:eastAsiaTheme="minorEastAsia"/>
          <w:b/>
          <w:color w:val="000000" w:themeColor="text1"/>
          <w14:textFill>
            <w14:solidFill>
              <w14:schemeClr w14:val="tx1"/>
            </w14:solidFill>
          </w14:textFill>
        </w:rPr>
        <w:t>征求意见阶段</w:t>
      </w:r>
      <w:r>
        <w:rPr>
          <w:rFonts w:ascii="Times New Roman" w:cs="Times New Roman" w:hAnsiTheme="minorEastAsia" w:eastAsiaTheme="minorEastAsia"/>
          <w:b/>
        </w:rPr>
        <w:t>（</w:t>
      </w:r>
      <w:r>
        <w:rPr>
          <w:rFonts w:ascii="Times New Roman" w:hAnsi="Times New Roman" w:cs="Times New Roman" w:eastAsiaTheme="minorEastAsia"/>
          <w:b/>
        </w:rPr>
        <w:t>2019</w:t>
      </w:r>
      <w:r>
        <w:rPr>
          <w:rFonts w:ascii="Times New Roman" w:cs="Times New Roman" w:hAnsiTheme="minorEastAsia" w:eastAsiaTheme="minorEastAsia"/>
          <w:b/>
        </w:rPr>
        <w:t>年</w:t>
      </w:r>
      <w:r>
        <w:rPr>
          <w:rFonts w:ascii="Times New Roman" w:hAnsi="Times New Roman" w:cs="Times New Roman" w:eastAsiaTheme="minorEastAsia"/>
          <w:b/>
        </w:rPr>
        <w:t>6</w:t>
      </w:r>
      <w:r>
        <w:rPr>
          <w:rFonts w:ascii="Times New Roman" w:cs="Times New Roman" w:hAnsiTheme="minorEastAsia" w:eastAsiaTheme="minorEastAsia"/>
          <w:b/>
        </w:rPr>
        <w:t>月</w:t>
      </w:r>
      <w:r>
        <w:rPr>
          <w:rFonts w:ascii="Times New Roman" w:hAnsi="Times New Roman" w:cs="Times New Roman" w:eastAsiaTheme="minorEastAsia"/>
          <w:b/>
        </w:rPr>
        <w:t>-2023</w:t>
      </w:r>
      <w:r>
        <w:rPr>
          <w:rFonts w:ascii="Times New Roman" w:cs="Times New Roman" w:hAnsiTheme="minorEastAsia" w:eastAsiaTheme="minorEastAsia"/>
          <w:b/>
        </w:rPr>
        <w:t>年9月）</w:t>
      </w:r>
    </w:p>
    <w:p w14:paraId="1B081A23">
      <w:pPr>
        <w:adjustRightInd w:val="0"/>
        <w:snapToGrid w:val="0"/>
        <w:spacing w:line="360" w:lineRule="auto"/>
        <w:ind w:left="420"/>
        <w:rPr>
          <w:rFonts w:eastAsiaTheme="minorEastAsia"/>
          <w:b/>
          <w:sz w:val="24"/>
        </w:rPr>
      </w:pPr>
      <w:r>
        <w:rPr>
          <w:rFonts w:hAnsiTheme="minorEastAsia" w:eastAsiaTheme="minorEastAsia"/>
          <w:b/>
          <w:sz w:val="24"/>
        </w:rPr>
        <w:t>（</w:t>
      </w:r>
      <w:r>
        <w:rPr>
          <w:rFonts w:eastAsiaTheme="minorEastAsia"/>
          <w:b/>
          <w:sz w:val="24"/>
        </w:rPr>
        <w:t>1</w:t>
      </w:r>
      <w:r>
        <w:rPr>
          <w:rFonts w:hAnsiTheme="minorEastAsia" w:eastAsiaTheme="minorEastAsia"/>
          <w:b/>
          <w:sz w:val="24"/>
        </w:rPr>
        <w:t>）征集意见（</w:t>
      </w:r>
      <w:r>
        <w:rPr>
          <w:rFonts w:eastAsiaTheme="minorEastAsia"/>
          <w:b/>
          <w:sz w:val="24"/>
        </w:rPr>
        <w:t>2019</w:t>
      </w:r>
      <w:r>
        <w:rPr>
          <w:rFonts w:hAnsiTheme="minorEastAsia" w:eastAsiaTheme="minorEastAsia"/>
          <w:b/>
          <w:sz w:val="24"/>
        </w:rPr>
        <w:t>年</w:t>
      </w:r>
      <w:r>
        <w:rPr>
          <w:rFonts w:eastAsiaTheme="minorEastAsia"/>
          <w:b/>
          <w:sz w:val="24"/>
        </w:rPr>
        <w:t>6</w:t>
      </w:r>
      <w:r>
        <w:rPr>
          <w:rFonts w:hAnsiTheme="minorEastAsia" w:eastAsiaTheme="minorEastAsia"/>
          <w:b/>
          <w:sz w:val="24"/>
        </w:rPr>
        <w:t>月</w:t>
      </w:r>
      <w:r>
        <w:rPr>
          <w:rFonts w:eastAsiaTheme="minorEastAsia"/>
          <w:b/>
          <w:sz w:val="24"/>
        </w:rPr>
        <w:t>-2023</w:t>
      </w:r>
      <w:r>
        <w:rPr>
          <w:rFonts w:hAnsiTheme="minorEastAsia" w:eastAsiaTheme="minorEastAsia"/>
          <w:b/>
          <w:sz w:val="24"/>
        </w:rPr>
        <w:t>年</w:t>
      </w:r>
      <w:r>
        <w:rPr>
          <w:rFonts w:eastAsiaTheme="minorEastAsia"/>
          <w:b/>
          <w:sz w:val="24"/>
        </w:rPr>
        <w:t>9</w:t>
      </w:r>
      <w:r>
        <w:rPr>
          <w:rFonts w:hAnsiTheme="minorEastAsia" w:eastAsiaTheme="minorEastAsia"/>
          <w:b/>
          <w:sz w:val="24"/>
        </w:rPr>
        <w:t>月）</w:t>
      </w:r>
    </w:p>
    <w:p w14:paraId="75B3E09B">
      <w:pPr>
        <w:adjustRightInd w:val="0"/>
        <w:snapToGrid w:val="0"/>
        <w:spacing w:line="360" w:lineRule="auto"/>
        <w:ind w:firstLine="480" w:firstLineChars="200"/>
        <w:rPr>
          <w:rFonts w:hAnsiTheme="minorEastAsia" w:eastAsiaTheme="minorEastAsia"/>
          <w:sz w:val="24"/>
        </w:rPr>
      </w:pPr>
      <w:r>
        <w:rPr>
          <w:rFonts w:hAnsiTheme="minorEastAsia" w:eastAsiaTheme="minorEastAsia"/>
          <w:sz w:val="24"/>
        </w:rPr>
        <w:t>将起草的标准征求意见稿送国内</w:t>
      </w:r>
      <w:r>
        <w:rPr>
          <w:rFonts w:eastAsiaTheme="minorEastAsia"/>
          <w:sz w:val="24"/>
        </w:rPr>
        <w:t>11</w:t>
      </w:r>
      <w:r>
        <w:rPr>
          <w:rFonts w:hAnsiTheme="minorEastAsia" w:eastAsiaTheme="minorEastAsia"/>
          <w:sz w:val="24"/>
        </w:rPr>
        <w:t>位同行专家评审，其中大专院校专家</w:t>
      </w:r>
      <w:r>
        <w:rPr>
          <w:rFonts w:eastAsiaTheme="minorEastAsia"/>
          <w:sz w:val="24"/>
        </w:rPr>
        <w:t>7</w:t>
      </w:r>
      <w:r>
        <w:rPr>
          <w:rFonts w:hAnsiTheme="minorEastAsia" w:eastAsiaTheme="minorEastAsia"/>
          <w:sz w:val="24"/>
        </w:rPr>
        <w:t>位，分别来自中国农业大学、南京农业大学、吉林农业大学、山东农业大学、浙江大学、河南农业大学、新疆农业大学，其中包含一位来自宠物医院的兽医临床专家（于咏兰副教授）；科研院所专家</w:t>
      </w:r>
      <w:r>
        <w:rPr>
          <w:rFonts w:eastAsiaTheme="minorEastAsia"/>
          <w:sz w:val="24"/>
        </w:rPr>
        <w:t>4</w:t>
      </w:r>
      <w:r>
        <w:rPr>
          <w:rFonts w:hAnsiTheme="minorEastAsia" w:eastAsiaTheme="minorEastAsia"/>
          <w:sz w:val="24"/>
        </w:rPr>
        <w:t>位，分别来自中国农业科学院兰州兽医研究所、中国动物卫生与流行病学中心、宁波市禽畜病研究所，其中宁波市禽畜病研究所主要开展家畜、家禽和宠物诊疗及疾病防控技术研发，属应用单位。</w:t>
      </w:r>
      <w:r>
        <w:rPr>
          <w:rFonts w:hint="eastAsia" w:hAnsiTheme="minorEastAsia" w:eastAsiaTheme="minorEastAsia"/>
          <w:sz w:val="24"/>
        </w:rPr>
        <w:t>因此，征求专家的代表性良好。</w:t>
      </w:r>
    </w:p>
    <w:p w14:paraId="6707E834">
      <w:pPr>
        <w:adjustRightInd w:val="0"/>
        <w:snapToGrid w:val="0"/>
        <w:spacing w:line="360" w:lineRule="auto"/>
        <w:ind w:firstLine="480" w:firstLineChars="200"/>
        <w:rPr>
          <w:rFonts w:eastAsiaTheme="minorEastAsia"/>
          <w:sz w:val="24"/>
        </w:rPr>
      </w:pPr>
      <w:r>
        <w:rPr>
          <w:rFonts w:hAnsiTheme="minorEastAsia" w:eastAsiaTheme="minorEastAsia"/>
          <w:sz w:val="24"/>
        </w:rPr>
        <w:t>共收到</w:t>
      </w:r>
      <w:r>
        <w:rPr>
          <w:rFonts w:eastAsiaTheme="minorEastAsia"/>
          <w:sz w:val="24"/>
        </w:rPr>
        <w:t>10</w:t>
      </w:r>
      <w:r>
        <w:rPr>
          <w:rFonts w:hAnsiTheme="minorEastAsia" w:eastAsiaTheme="minorEastAsia"/>
          <w:sz w:val="24"/>
        </w:rPr>
        <w:t>位专家返还意见，有一位专家未提出具体意见。共征集到意见</w:t>
      </w:r>
      <w:r>
        <w:rPr>
          <w:rFonts w:eastAsiaTheme="minorEastAsia"/>
          <w:sz w:val="24"/>
        </w:rPr>
        <w:t>46</w:t>
      </w:r>
      <w:r>
        <w:rPr>
          <w:rFonts w:hAnsiTheme="minorEastAsia" w:eastAsiaTheme="minorEastAsia"/>
          <w:sz w:val="24"/>
        </w:rPr>
        <w:t>条，主要集中在样品采集、</w:t>
      </w:r>
      <w:r>
        <w:rPr>
          <w:rFonts w:eastAsiaTheme="minorEastAsia"/>
          <w:sz w:val="24"/>
        </w:rPr>
        <w:t>PCR</w:t>
      </w:r>
      <w:r>
        <w:rPr>
          <w:rFonts w:hAnsiTheme="minorEastAsia" w:eastAsiaTheme="minorEastAsia"/>
          <w:sz w:val="24"/>
        </w:rPr>
        <w:t>扩增、阳性标准对照、范围、题目等方面。</w:t>
      </w:r>
      <w:r>
        <w:rPr>
          <w:rFonts w:eastAsiaTheme="minorEastAsia"/>
          <w:sz w:val="24"/>
        </w:rPr>
        <w:t>征集到意见46条，其中同意采纳44条，占95.65%；未采纳2条，占 4.35%，对未采纳和部分采纳者均在备注栏中均做了说明。主要涉及2个方面：（1）是否有必要增加引言，内容包括为什么要制定这个标准、裂头蚴基本概念、裂头蚴寄生部位等等。考虑到引言为非必须部分；且综合其他专家意见，考虑到人和动物裂头蚴感染早有报道，在人和动物中有一定的流行率；裂头蚴感染的基本知识在编制说明中已有相关内容，因此，标准文本中就不再介绍。（2）是否可以用构建好的含有靶基因序列的质粒作为PCR质控模板，无须用虫体作为质控标准。此意见与其他专家的观点不同；同时，样品DNA提取过程也可能存在误差，导致提取的DNA质量不符合要求，造成扩增效果不好。因此，以鉴定正确的裂头蚴或其片段作为阳性对照，与待检样品同时进行DNA提取和检测，可以更好地降低误操作带来的结果不准确，</w:t>
      </w:r>
      <w:r>
        <w:rPr>
          <w:rFonts w:hint="eastAsia" w:eastAsiaTheme="minorEastAsia"/>
          <w:sz w:val="24"/>
        </w:rPr>
        <w:t>故</w:t>
      </w:r>
      <w:r>
        <w:rPr>
          <w:rFonts w:eastAsiaTheme="minorEastAsia"/>
          <w:sz w:val="24"/>
        </w:rPr>
        <w:t>没有采纳该建议。</w:t>
      </w:r>
    </w:p>
    <w:p w14:paraId="7FAFB224">
      <w:pPr>
        <w:adjustRightInd w:val="0"/>
        <w:snapToGrid w:val="0"/>
        <w:spacing w:line="360" w:lineRule="auto"/>
        <w:ind w:firstLine="482" w:firstLineChars="200"/>
        <w:rPr>
          <w:rFonts w:eastAsiaTheme="minorEastAsia"/>
          <w:sz w:val="24"/>
        </w:rPr>
      </w:pPr>
      <w:r>
        <w:rPr>
          <w:rFonts w:hAnsiTheme="minorEastAsia" w:eastAsiaTheme="minorEastAsia"/>
          <w:b/>
          <w:sz w:val="24"/>
        </w:rPr>
        <w:t>（</w:t>
      </w:r>
      <w:r>
        <w:rPr>
          <w:rFonts w:eastAsiaTheme="minorEastAsia"/>
          <w:b/>
          <w:sz w:val="24"/>
        </w:rPr>
        <w:t>2</w:t>
      </w:r>
      <w:r>
        <w:rPr>
          <w:rFonts w:hAnsiTheme="minorEastAsia" w:eastAsiaTheme="minorEastAsia"/>
          <w:b/>
          <w:sz w:val="24"/>
        </w:rPr>
        <w:t>）修改补充和田间样品应用阶段（</w:t>
      </w:r>
      <w:r>
        <w:rPr>
          <w:rFonts w:eastAsiaTheme="minorEastAsia"/>
          <w:b/>
          <w:sz w:val="24"/>
        </w:rPr>
        <w:t>2019</w:t>
      </w:r>
      <w:r>
        <w:rPr>
          <w:rFonts w:hAnsiTheme="minorEastAsia" w:eastAsiaTheme="minorEastAsia"/>
          <w:b/>
          <w:sz w:val="24"/>
        </w:rPr>
        <w:t>年</w:t>
      </w:r>
      <w:r>
        <w:rPr>
          <w:rFonts w:eastAsiaTheme="minorEastAsia"/>
          <w:b/>
          <w:sz w:val="24"/>
        </w:rPr>
        <w:t>8</w:t>
      </w:r>
      <w:r>
        <w:rPr>
          <w:rFonts w:hAnsiTheme="minorEastAsia" w:eastAsiaTheme="minorEastAsia"/>
          <w:b/>
          <w:sz w:val="24"/>
        </w:rPr>
        <w:t>月</w:t>
      </w:r>
      <w:r>
        <w:rPr>
          <w:rFonts w:eastAsiaTheme="minorEastAsia"/>
          <w:b/>
          <w:sz w:val="24"/>
        </w:rPr>
        <w:t>-</w:t>
      </w:r>
      <w:r>
        <w:rPr>
          <w:rFonts w:hAnsiTheme="minorEastAsia" w:eastAsiaTheme="minorEastAsia"/>
          <w:b/>
          <w:sz w:val="24"/>
        </w:rPr>
        <w:t>至今）</w:t>
      </w:r>
    </w:p>
    <w:p w14:paraId="4CD2D545">
      <w:pPr>
        <w:pStyle w:val="14"/>
        <w:snapToGrid w:val="0"/>
        <w:spacing w:line="360" w:lineRule="auto"/>
        <w:ind w:firstLine="480" w:firstLineChars="200"/>
        <w:rPr>
          <w:rFonts w:ascii="Times New Roman" w:hAnsi="Times New Roman" w:cs="Times New Roman" w:eastAsiaTheme="minorEastAsia"/>
          <w:b/>
          <w:color w:val="auto"/>
        </w:rPr>
      </w:pPr>
      <w:r>
        <w:rPr>
          <w:rFonts w:ascii="Times New Roman" w:cs="Times New Roman" w:hAnsiTheme="minorEastAsia" w:eastAsiaTheme="minorEastAsia"/>
          <w:color w:val="auto"/>
        </w:rPr>
        <w:t>继续从上海、重庆、山东、广州、浙江采集猪肉、猪血液，以及蛙、蛇等样品，利用标准所列方法，进行检测，评估各种方法的诊断效果及其敏感性、特异性、重复性，继续优化各种诊断方法。</w:t>
      </w:r>
    </w:p>
    <w:p w14:paraId="44789589">
      <w:pPr>
        <w:pStyle w:val="14"/>
        <w:snapToGrid w:val="0"/>
        <w:spacing w:line="360" w:lineRule="auto"/>
        <w:ind w:firstLine="482" w:firstLineChars="200"/>
        <w:rPr>
          <w:rFonts w:ascii="Times New Roman" w:hAnsi="Times New Roman" w:cs="Times New Roman" w:eastAsiaTheme="minorEastAsia"/>
          <w:b/>
          <w:color w:val="auto"/>
        </w:rPr>
      </w:pPr>
      <w:r>
        <w:rPr>
          <w:rFonts w:hint="eastAsia" w:ascii="Times New Roman" w:cs="Times New Roman" w:hAnsiTheme="minorEastAsia" w:eastAsiaTheme="minorEastAsia"/>
          <w:b/>
          <w:color w:val="auto"/>
        </w:rPr>
        <w:t>3.</w:t>
      </w:r>
      <w:r>
        <w:rPr>
          <w:rFonts w:ascii="Times New Roman" w:cs="Times New Roman" w:hAnsiTheme="minorEastAsia" w:eastAsiaTheme="minorEastAsia"/>
          <w:b/>
          <w:color w:val="auto"/>
        </w:rPr>
        <w:t xml:space="preserve"> 审查阶段（</w:t>
      </w:r>
      <w:r>
        <w:rPr>
          <w:rFonts w:hint="eastAsia" w:ascii="Times New Roman" w:cs="Times New Roman" w:hAnsiTheme="minorEastAsia" w:eastAsiaTheme="minorEastAsia"/>
          <w:b/>
          <w:color w:val="auto"/>
        </w:rPr>
        <w:t>2</w:t>
      </w:r>
      <w:r>
        <w:rPr>
          <w:rFonts w:ascii="Times New Roman" w:cs="Times New Roman" w:hAnsiTheme="minorEastAsia" w:eastAsiaTheme="minorEastAsia"/>
          <w:b/>
          <w:color w:val="auto"/>
        </w:rPr>
        <w:t>023</w:t>
      </w:r>
      <w:r>
        <w:rPr>
          <w:rFonts w:hint="eastAsia" w:ascii="Times New Roman" w:cs="Times New Roman" w:hAnsiTheme="minorEastAsia" w:eastAsiaTheme="minorEastAsia"/>
          <w:b/>
          <w:color w:val="auto"/>
        </w:rPr>
        <w:t>年1</w:t>
      </w:r>
      <w:r>
        <w:rPr>
          <w:rFonts w:ascii="Times New Roman" w:cs="Times New Roman" w:hAnsiTheme="minorEastAsia" w:eastAsiaTheme="minorEastAsia"/>
          <w:b/>
          <w:color w:val="auto"/>
        </w:rPr>
        <w:t>0</w:t>
      </w:r>
      <w:r>
        <w:rPr>
          <w:rFonts w:hint="eastAsia" w:ascii="Times New Roman" w:cs="Times New Roman" w:hAnsiTheme="minorEastAsia" w:eastAsiaTheme="minorEastAsia"/>
          <w:b/>
          <w:color w:val="auto"/>
        </w:rPr>
        <w:t>月-至今</w:t>
      </w:r>
      <w:r>
        <w:rPr>
          <w:rFonts w:ascii="Times New Roman" w:cs="Times New Roman" w:hAnsiTheme="minorEastAsia" w:eastAsiaTheme="minorEastAsia"/>
          <w:b/>
          <w:color w:val="auto"/>
        </w:rPr>
        <w:t>）</w:t>
      </w:r>
    </w:p>
    <w:p w14:paraId="1B2D9194">
      <w:pPr>
        <w:pStyle w:val="14"/>
        <w:snapToGrid w:val="0"/>
        <w:spacing w:line="360" w:lineRule="auto"/>
        <w:ind w:firstLine="480" w:firstLineChars="200"/>
        <w:rPr>
          <w:rFonts w:ascii="Times New Roman" w:hAnsi="Times New Roman" w:cs="Times New Roman" w:eastAsiaTheme="minorEastAsia"/>
          <w:color w:val="auto"/>
        </w:rPr>
      </w:pPr>
      <w:r>
        <w:rPr>
          <w:rFonts w:hint="eastAsia" w:ascii="Times New Roman" w:hAnsi="Times New Roman" w:cs="Times New Roman" w:eastAsiaTheme="minorEastAsia"/>
          <w:color w:val="auto"/>
        </w:rPr>
        <w:t>根据专家意见，结合田间应用结果、最新公开发表文献的学习，对标准征求意见稿进行修改，形成标准送审稿，报</w:t>
      </w:r>
      <w:r>
        <w:rPr>
          <w:rFonts w:ascii="Times New Roman" w:hAnsi="Times New Roman" w:cs="Times New Roman" w:eastAsiaTheme="minorEastAsia"/>
          <w:color w:val="auto"/>
        </w:rPr>
        <w:t>全国动物卫生标准化技术委员会（SAC/TC181）</w:t>
      </w:r>
      <w:r>
        <w:rPr>
          <w:rFonts w:hint="eastAsia" w:ascii="Times New Roman" w:hAnsi="Times New Roman" w:cs="Times New Roman" w:eastAsiaTheme="minorEastAsia"/>
          <w:color w:val="auto"/>
        </w:rPr>
        <w:t>秘书处，进行审查。</w:t>
      </w:r>
    </w:p>
    <w:p w14:paraId="6EBA11A8">
      <w:pPr>
        <w:pStyle w:val="14"/>
        <w:snapToGrid w:val="0"/>
        <w:spacing w:line="360" w:lineRule="auto"/>
        <w:ind w:firstLine="480" w:firstLineChars="200"/>
        <w:rPr>
          <w:rFonts w:ascii="Times New Roman" w:hAnsi="Times New Roman" w:cs="Times New Roman" w:eastAsiaTheme="minorEastAsia"/>
          <w:strike/>
          <w:color w:val="00B0F0"/>
        </w:rPr>
      </w:pPr>
      <w:r>
        <w:rPr>
          <w:rFonts w:hint="eastAsia" w:ascii="Times New Roman" w:cs="Times New Roman" w:hAnsiTheme="minorEastAsia" w:eastAsiaTheme="minorEastAsia"/>
          <w:strike/>
          <w:color w:val="00B0F0"/>
        </w:rPr>
        <w:t>4</w:t>
      </w:r>
      <w:r>
        <w:rPr>
          <w:rFonts w:ascii="Times New Roman" w:cs="Times New Roman" w:hAnsiTheme="minorEastAsia" w:eastAsiaTheme="minorEastAsia"/>
          <w:strike/>
          <w:color w:val="00B0F0"/>
        </w:rPr>
        <w:t>. 报批阶段（此次不写本部分）</w:t>
      </w:r>
    </w:p>
    <w:p w14:paraId="6B9444D6">
      <w:pPr>
        <w:pStyle w:val="2"/>
        <w:keepNext w:val="0"/>
        <w:keepLines w:val="0"/>
        <w:adjustRightInd w:val="0"/>
        <w:snapToGrid w:val="0"/>
        <w:ind w:firstLine="560"/>
        <w:rPr>
          <w:rFonts w:ascii="Times New Roman" w:hAnsi="Times New Roman" w:eastAsiaTheme="minorEastAsia"/>
          <w:sz w:val="28"/>
        </w:rPr>
      </w:pPr>
    </w:p>
    <w:p w14:paraId="5A0FBED6">
      <w:pPr>
        <w:pStyle w:val="2"/>
        <w:keepNext w:val="0"/>
        <w:keepLines w:val="0"/>
        <w:wordWrap w:val="0"/>
        <w:ind w:firstLine="560"/>
        <w:rPr>
          <w:sz w:val="28"/>
        </w:rPr>
      </w:pPr>
      <w:r>
        <w:rPr>
          <w:sz w:val="28"/>
        </w:rPr>
        <w:t>二、标准编制原则和确定标准主要内容的依据</w:t>
      </w:r>
    </w:p>
    <w:p w14:paraId="42AAA757">
      <w:pPr>
        <w:pStyle w:val="3"/>
        <w:keepNext w:val="0"/>
        <w:keepLines w:val="0"/>
        <w:wordWrap w:val="0"/>
        <w:ind w:firstLine="562"/>
        <w:rPr>
          <w:sz w:val="28"/>
        </w:rPr>
      </w:pPr>
      <w:r>
        <w:rPr>
          <w:sz w:val="28"/>
        </w:rPr>
        <w:t>（一）标准的编写</w:t>
      </w:r>
      <w:r>
        <w:rPr>
          <w:rFonts w:hint="eastAsia"/>
          <w:sz w:val="28"/>
        </w:rPr>
        <w:t>原则</w:t>
      </w:r>
    </w:p>
    <w:p w14:paraId="4A89DDC6">
      <w:pPr>
        <w:adjustRightInd w:val="0"/>
        <w:snapToGrid w:val="0"/>
        <w:spacing w:line="360" w:lineRule="auto"/>
        <w:ind w:firstLine="420"/>
        <w:rPr>
          <w:rFonts w:ascii="Arial" w:hAnsi="Arial" w:cs="Arial"/>
          <w:color w:val="00B0F0"/>
          <w:sz w:val="24"/>
        </w:rPr>
      </w:pPr>
      <w:r>
        <w:rPr>
          <w:rFonts w:hint="eastAsia" w:ascii="Arial" w:hAnsi="Arial" w:cs="Arial"/>
          <w:color w:val="00B0F0"/>
          <w:sz w:val="24"/>
        </w:rPr>
        <w:t>主要阐述标准制定或修订过程遵循的基本原则。</w:t>
      </w:r>
    </w:p>
    <w:p w14:paraId="6E7D8F7B">
      <w:pPr>
        <w:pStyle w:val="14"/>
        <w:snapToGrid w:val="0"/>
        <w:spacing w:line="360" w:lineRule="auto"/>
        <w:ind w:firstLine="420"/>
        <w:rPr>
          <w:rFonts w:ascii="Times New Roman" w:hAnsi="Times New Roman" w:cs="Times New Roman" w:eastAsiaTheme="minorEastAsia"/>
        </w:rPr>
      </w:pPr>
      <w:r>
        <w:rPr>
          <w:rFonts w:ascii="Times New Roman" w:hAnsi="Times New Roman" w:cs="Times New Roman" w:eastAsiaTheme="minorEastAsia"/>
        </w:rPr>
        <w:t>1</w:t>
      </w:r>
      <w:r>
        <w:rPr>
          <w:rFonts w:ascii="Times New Roman" w:cs="Times New Roman" w:hAnsiTheme="minorEastAsia" w:eastAsiaTheme="minorEastAsia"/>
        </w:rPr>
        <w:t>、</w:t>
      </w:r>
      <w:r>
        <w:rPr>
          <w:rFonts w:ascii="Times New Roman" w:hAnsi="Times New Roman" w:cs="Times New Roman" w:eastAsiaTheme="minorEastAsia"/>
        </w:rPr>
        <w:t xml:space="preserve"> </w:t>
      </w:r>
      <w:r>
        <w:rPr>
          <w:rFonts w:ascii="Times New Roman" w:cs="Times New Roman" w:hAnsiTheme="minorEastAsia" w:eastAsiaTheme="minorEastAsia"/>
        </w:rPr>
        <w:t>根据</w:t>
      </w:r>
      <w:r>
        <w:rPr>
          <w:rFonts w:cs="Times New Roman" w:asciiTheme="minorEastAsia" w:hAnsiTheme="minorEastAsia" w:eastAsiaTheme="minorEastAsia"/>
        </w:rPr>
        <w:t>“先进性、实用性、统一性、规范性”</w:t>
      </w:r>
      <w:r>
        <w:rPr>
          <w:rFonts w:ascii="Times New Roman" w:cs="Times New Roman" w:hAnsiTheme="minorEastAsia" w:eastAsiaTheme="minorEastAsia"/>
        </w:rPr>
        <w:t>的标准编制原则，本标准的制定将重点关注标准的通用性、适用性和可操作性，并符合我国国情；</w:t>
      </w:r>
    </w:p>
    <w:p w14:paraId="463A69BA">
      <w:pPr>
        <w:adjustRightInd w:val="0"/>
        <w:snapToGrid w:val="0"/>
        <w:spacing w:line="360" w:lineRule="auto"/>
        <w:ind w:firstLine="420"/>
        <w:rPr>
          <w:rFonts w:eastAsiaTheme="minorEastAsia"/>
          <w:color w:val="00B0F0"/>
          <w:sz w:val="24"/>
        </w:rPr>
      </w:pPr>
      <w:r>
        <w:rPr>
          <w:rFonts w:eastAsiaTheme="minorEastAsia"/>
          <w:sz w:val="24"/>
        </w:rPr>
        <w:t>2</w:t>
      </w:r>
      <w:r>
        <w:rPr>
          <w:rFonts w:hAnsiTheme="minorEastAsia" w:eastAsiaTheme="minorEastAsia"/>
          <w:sz w:val="24"/>
        </w:rPr>
        <w:t>、标准的格式严格按照</w:t>
      </w:r>
      <w:r>
        <w:rPr>
          <w:rFonts w:eastAsiaTheme="minorEastAsia"/>
          <w:sz w:val="24"/>
        </w:rPr>
        <w:t>GB/T 1.1</w:t>
      </w:r>
      <w:r>
        <w:rPr>
          <w:rFonts w:hAnsiTheme="minorEastAsia" w:eastAsiaTheme="minorEastAsia"/>
          <w:sz w:val="24"/>
        </w:rPr>
        <w:t>《标准化工作导则</w:t>
      </w:r>
      <w:r>
        <w:rPr>
          <w:rFonts w:eastAsiaTheme="minorEastAsia"/>
          <w:sz w:val="24"/>
        </w:rPr>
        <w:t xml:space="preserve">  </w:t>
      </w:r>
      <w:r>
        <w:rPr>
          <w:rFonts w:hAnsiTheme="minorEastAsia" w:eastAsiaTheme="minorEastAsia"/>
          <w:sz w:val="24"/>
        </w:rPr>
        <w:t>第</w:t>
      </w:r>
      <w:r>
        <w:rPr>
          <w:rFonts w:eastAsiaTheme="minorEastAsia"/>
          <w:sz w:val="24"/>
        </w:rPr>
        <w:t>1</w:t>
      </w:r>
      <w:r>
        <w:rPr>
          <w:rFonts w:hAnsiTheme="minorEastAsia" w:eastAsiaTheme="minorEastAsia"/>
          <w:sz w:val="24"/>
        </w:rPr>
        <w:t>部分：标准的结构和编写》、</w:t>
      </w:r>
      <w:r>
        <w:rPr>
          <w:rFonts w:hint="eastAsia" w:hAnsiTheme="minorEastAsia" w:eastAsiaTheme="minorEastAsia"/>
          <w:sz w:val="24"/>
        </w:rPr>
        <w:t>GB/T 1.2-2020《标准化工作导则 第2部分：以ISO/IEC标准化文件为基础的标准化文件起草规则》</w:t>
      </w:r>
      <w:r>
        <w:rPr>
          <w:rFonts w:hAnsiTheme="minorEastAsia" w:eastAsiaTheme="minorEastAsia"/>
          <w:sz w:val="24"/>
        </w:rPr>
        <w:t>给出的规则。</w:t>
      </w:r>
    </w:p>
    <w:p w14:paraId="489AF313">
      <w:pPr>
        <w:pStyle w:val="3"/>
        <w:keepNext w:val="0"/>
        <w:keepLines w:val="0"/>
        <w:wordWrap w:val="0"/>
        <w:ind w:firstLine="562"/>
        <w:rPr>
          <w:sz w:val="28"/>
        </w:rPr>
      </w:pPr>
      <w:r>
        <w:rPr>
          <w:sz w:val="28"/>
        </w:rPr>
        <w:t>（二）提出本标准</w:t>
      </w:r>
      <w:r>
        <w:rPr>
          <w:rFonts w:hint="eastAsia"/>
          <w:sz w:val="28"/>
        </w:rPr>
        <w:t>主要内容</w:t>
      </w:r>
      <w:r>
        <w:rPr>
          <w:sz w:val="28"/>
        </w:rPr>
        <w:t>的依据</w:t>
      </w:r>
    </w:p>
    <w:p w14:paraId="5A9DDFFC">
      <w:pPr>
        <w:adjustRightInd w:val="0"/>
        <w:snapToGrid w:val="0"/>
        <w:spacing w:line="360" w:lineRule="auto"/>
        <w:ind w:firstLine="420"/>
        <w:rPr>
          <w:rFonts w:ascii="Arial" w:hAnsi="Arial" w:cs="Arial"/>
          <w:color w:val="00B0F0"/>
          <w:sz w:val="24"/>
        </w:rPr>
      </w:pPr>
      <w:r>
        <w:rPr>
          <w:rFonts w:hint="eastAsia" w:ascii="Arial" w:hAnsi="Arial" w:cs="Arial"/>
          <w:color w:val="00B0F0"/>
          <w:sz w:val="24"/>
        </w:rPr>
        <w:t>主要内容包括技术指标、参数、公式、性能要求、试验方法、检验规则等。依据包括试验和统计数据。尤其注意本条不要写成任务来源。</w:t>
      </w:r>
    </w:p>
    <w:p w14:paraId="6EC128FC">
      <w:pPr>
        <w:adjustRightInd w:val="0"/>
        <w:snapToGrid w:val="0"/>
        <w:spacing w:line="360" w:lineRule="auto"/>
        <w:ind w:firstLine="420"/>
        <w:rPr>
          <w:rFonts w:eastAsiaTheme="minorEastAsia"/>
          <w:b/>
          <w:sz w:val="24"/>
        </w:rPr>
      </w:pPr>
      <w:r>
        <w:rPr>
          <w:rFonts w:eastAsiaTheme="minorEastAsia"/>
          <w:b/>
          <w:sz w:val="24"/>
        </w:rPr>
        <w:t>1</w:t>
      </w:r>
      <w:r>
        <w:rPr>
          <w:rFonts w:hAnsiTheme="minorEastAsia" w:eastAsiaTheme="minorEastAsia"/>
          <w:b/>
          <w:sz w:val="24"/>
        </w:rPr>
        <w:t>、生产需要</w:t>
      </w:r>
    </w:p>
    <w:p w14:paraId="447962BF">
      <w:pPr>
        <w:adjustRightInd w:val="0"/>
        <w:snapToGrid w:val="0"/>
        <w:spacing w:line="360" w:lineRule="auto"/>
        <w:ind w:firstLine="420"/>
        <w:rPr>
          <w:rFonts w:eastAsiaTheme="minorEastAsia"/>
          <w:sz w:val="24"/>
        </w:rPr>
      </w:pPr>
      <w:r>
        <w:rPr>
          <w:rFonts w:hAnsiTheme="minorEastAsia" w:eastAsiaTheme="minorEastAsia"/>
          <w:sz w:val="24"/>
        </w:rPr>
        <w:t>我国生猪养殖面广量大，其中中小养殖场</w:t>
      </w:r>
      <w:r>
        <w:rPr>
          <w:rFonts w:eastAsiaTheme="minorEastAsia"/>
          <w:sz w:val="24"/>
        </w:rPr>
        <w:t>/</w:t>
      </w:r>
      <w:r>
        <w:rPr>
          <w:rFonts w:hAnsiTheme="minorEastAsia" w:eastAsiaTheme="minorEastAsia"/>
          <w:sz w:val="24"/>
        </w:rPr>
        <w:t>户占多数，这些养殖场</w:t>
      </w:r>
      <w:r>
        <w:rPr>
          <w:rFonts w:eastAsiaTheme="minorEastAsia"/>
          <w:sz w:val="24"/>
        </w:rPr>
        <w:t>/</w:t>
      </w:r>
      <w:r>
        <w:rPr>
          <w:rFonts w:hAnsiTheme="minorEastAsia" w:eastAsiaTheme="minorEastAsia"/>
          <w:sz w:val="24"/>
        </w:rPr>
        <w:t>户技术人员数量少、缺乏高精尖的仪器设备。</w:t>
      </w:r>
      <w:r>
        <w:rPr>
          <w:rFonts w:hint="eastAsia" w:hAnsiTheme="minorEastAsia" w:eastAsiaTheme="minorEastAsia"/>
          <w:sz w:val="24"/>
        </w:rPr>
        <w:t>而</w:t>
      </w:r>
      <w:r>
        <w:rPr>
          <w:rFonts w:hAnsiTheme="minorEastAsia" w:eastAsiaTheme="minorEastAsia"/>
          <w:sz w:val="24"/>
        </w:rPr>
        <w:t>裂头蚴病的诊断更多应用于屠宰企业，同样，屠宰企业的规模和技术水平参差不齐，大多数的屠宰企业缺乏专业的检测人员和高精尖的仪器设备。因此，在制定猪裂头蚴病的诊断标准时，必须要考虑生产企业的实际，选择既适合广大基层使用，又能在大专院校、科研院所使用，确保诊断的准确性、有效性和先进性。</w:t>
      </w:r>
    </w:p>
    <w:p w14:paraId="205D43ED">
      <w:pPr>
        <w:adjustRightInd w:val="0"/>
        <w:snapToGrid w:val="0"/>
        <w:spacing w:line="360" w:lineRule="auto"/>
        <w:ind w:firstLine="420"/>
        <w:rPr>
          <w:rFonts w:eastAsiaTheme="minorEastAsia"/>
          <w:b/>
          <w:sz w:val="24"/>
        </w:rPr>
      </w:pPr>
      <w:r>
        <w:rPr>
          <w:rFonts w:eastAsiaTheme="minorEastAsia"/>
          <w:b/>
          <w:sz w:val="24"/>
        </w:rPr>
        <w:t>2</w:t>
      </w:r>
      <w:r>
        <w:rPr>
          <w:rFonts w:hAnsiTheme="minorEastAsia" w:eastAsiaTheme="minorEastAsia"/>
          <w:b/>
          <w:sz w:val="24"/>
        </w:rPr>
        <w:t>、技术依据</w:t>
      </w:r>
    </w:p>
    <w:p w14:paraId="798CD691">
      <w:pPr>
        <w:adjustRightInd w:val="0"/>
        <w:snapToGrid w:val="0"/>
        <w:spacing w:line="360" w:lineRule="auto"/>
        <w:ind w:firstLine="420"/>
        <w:rPr>
          <w:rFonts w:eastAsiaTheme="minorEastAsia"/>
          <w:sz w:val="24"/>
        </w:rPr>
      </w:pPr>
      <w:r>
        <w:rPr>
          <w:rFonts w:hAnsiTheme="minorEastAsia" w:eastAsiaTheme="minorEastAsia"/>
          <w:sz w:val="24"/>
        </w:rPr>
        <w:t>当前，动物源性食品中裂头蚴的检测方法主要包括病原学、血清学和分子生物学诊断技术。</w:t>
      </w:r>
    </w:p>
    <w:p w14:paraId="18A24C15">
      <w:pPr>
        <w:adjustRightInd w:val="0"/>
        <w:snapToGrid w:val="0"/>
        <w:spacing w:line="360" w:lineRule="auto"/>
        <w:ind w:firstLine="420"/>
        <w:rPr>
          <w:rFonts w:eastAsiaTheme="minorEastAsia"/>
          <w:sz w:val="24"/>
        </w:rPr>
      </w:pPr>
      <w:r>
        <w:rPr>
          <w:rFonts w:hAnsiTheme="minorEastAsia" w:eastAsiaTheme="minorEastAsia"/>
          <w:sz w:val="24"/>
        </w:rPr>
        <w:t>由于</w:t>
      </w:r>
      <w:r>
        <w:rPr>
          <w:rFonts w:hint="eastAsia" w:hAnsiTheme="minorEastAsia" w:eastAsiaTheme="minorEastAsia"/>
          <w:sz w:val="24"/>
        </w:rPr>
        <w:t>跌宫绦虫</w:t>
      </w:r>
      <w:r>
        <w:rPr>
          <w:rFonts w:hAnsiTheme="minorEastAsia" w:eastAsiaTheme="minorEastAsia"/>
          <w:sz w:val="24"/>
        </w:rPr>
        <w:t>裂头蚴虫体较大，肉眼即可观察到</w:t>
      </w:r>
      <w:r>
        <w:rPr>
          <w:rFonts w:hint="eastAsia" w:hAnsiTheme="minorEastAsia" w:eastAsiaTheme="minorEastAsia"/>
          <w:sz w:val="24"/>
        </w:rPr>
        <w:t>。</w:t>
      </w:r>
      <w:r>
        <w:rPr>
          <w:rFonts w:hAnsiTheme="minorEastAsia" w:eastAsiaTheme="minorEastAsia"/>
          <w:sz w:val="24"/>
        </w:rPr>
        <w:t>因此，目检法在生产现场应用最广，尤其适合屠宰企业在宰后检疫中运用。但目检法需要检测人员有一定的鉴别能力和实践经验，</w:t>
      </w:r>
      <w:r>
        <w:rPr>
          <w:rFonts w:hint="eastAsia" w:hAnsiTheme="minorEastAsia" w:eastAsiaTheme="minorEastAsia"/>
          <w:sz w:val="24"/>
        </w:rPr>
        <w:t>存在较大的主观性，因此，不能作为确诊的方法。</w:t>
      </w:r>
      <w:r>
        <w:rPr>
          <w:rFonts w:hAnsiTheme="minorEastAsia" w:eastAsiaTheme="minorEastAsia"/>
          <w:sz w:val="24"/>
        </w:rPr>
        <w:t>而</w:t>
      </w:r>
      <w:r>
        <w:rPr>
          <w:rFonts w:hint="eastAsia" w:hAnsiTheme="minorEastAsia" w:eastAsiaTheme="minorEastAsia"/>
          <w:sz w:val="24"/>
        </w:rPr>
        <w:t>显微镜检法可以显著弥补这个缺陷，根据虫体的体表特征、大小、寄生部位等，可以进行确诊。以往，国内外主要采用该法进行动物源性食品中跌宫绦虫裂头蚴感染监测、调查；当前，国内外仍普遍应用。但该法</w:t>
      </w:r>
      <w:r>
        <w:rPr>
          <w:rFonts w:hAnsiTheme="minorEastAsia" w:eastAsiaTheme="minorEastAsia"/>
          <w:sz w:val="24"/>
        </w:rPr>
        <w:t>无法鉴定</w:t>
      </w:r>
      <w:r>
        <w:rPr>
          <w:rFonts w:hint="eastAsia" w:hAnsiTheme="minorEastAsia" w:eastAsiaTheme="minorEastAsia"/>
          <w:sz w:val="24"/>
        </w:rPr>
        <w:t>裂头蚴的</w:t>
      </w:r>
      <w:r>
        <w:rPr>
          <w:rFonts w:hAnsiTheme="minorEastAsia" w:eastAsiaTheme="minorEastAsia"/>
          <w:sz w:val="24"/>
        </w:rPr>
        <w:t>种类。</w:t>
      </w:r>
    </w:p>
    <w:p w14:paraId="1E7F21BD">
      <w:pPr>
        <w:adjustRightInd w:val="0"/>
        <w:snapToGrid w:val="0"/>
        <w:spacing w:line="360" w:lineRule="auto"/>
        <w:ind w:firstLine="420"/>
        <w:rPr>
          <w:rFonts w:eastAsiaTheme="minorEastAsia"/>
          <w:sz w:val="24"/>
        </w:rPr>
      </w:pPr>
      <w:r>
        <w:rPr>
          <w:rFonts w:hAnsiTheme="minorEastAsia" w:eastAsiaTheme="minorEastAsia"/>
          <w:sz w:val="24"/>
        </w:rPr>
        <w:t>血清学诊断方法在猪的生前诊断中发挥重要作用，目前建立的血清学方法包括间接血凝技术、酶联免疫吸附试验（</w:t>
      </w:r>
      <w:r>
        <w:rPr>
          <w:rFonts w:eastAsiaTheme="minorEastAsia"/>
          <w:sz w:val="24"/>
        </w:rPr>
        <w:t>ELISA</w:t>
      </w:r>
      <w:r>
        <w:rPr>
          <w:rFonts w:hAnsiTheme="minorEastAsia" w:eastAsiaTheme="minorEastAsia"/>
          <w:sz w:val="24"/>
        </w:rPr>
        <w:t>）、免疫印迹技术、胶体金渗滤法等，这些技术各有优缺点，其中间接血凝和胶体金渗滤法相对敏感性较低；免疫印迹技术容易产生非特异性斑点；</w:t>
      </w:r>
      <w:r>
        <w:rPr>
          <w:rFonts w:eastAsiaTheme="minorEastAsia"/>
          <w:sz w:val="24"/>
        </w:rPr>
        <w:t>ELISA</w:t>
      </w:r>
      <w:r>
        <w:rPr>
          <w:rFonts w:hAnsiTheme="minorEastAsia" w:eastAsiaTheme="minorEastAsia"/>
          <w:sz w:val="24"/>
        </w:rPr>
        <w:t>法相对敏感、重复性</w:t>
      </w:r>
      <w:r>
        <w:rPr>
          <w:rFonts w:hint="eastAsia" w:hAnsiTheme="minorEastAsia" w:eastAsiaTheme="minorEastAsia"/>
          <w:sz w:val="24"/>
        </w:rPr>
        <w:t>相对</w:t>
      </w:r>
      <w:r>
        <w:rPr>
          <w:rFonts w:hAnsiTheme="minorEastAsia" w:eastAsiaTheme="minorEastAsia"/>
          <w:sz w:val="24"/>
        </w:rPr>
        <w:t>较好，使用比较方便，应用</w:t>
      </w:r>
      <w:r>
        <w:rPr>
          <w:rFonts w:hint="eastAsia" w:hAnsiTheme="minorEastAsia" w:eastAsiaTheme="minorEastAsia"/>
          <w:sz w:val="24"/>
        </w:rPr>
        <w:t>相对较多</w:t>
      </w:r>
      <w:r>
        <w:rPr>
          <w:rFonts w:hAnsiTheme="minorEastAsia" w:eastAsiaTheme="minorEastAsia"/>
          <w:sz w:val="24"/>
        </w:rPr>
        <w:t>。</w:t>
      </w:r>
      <w:r>
        <w:rPr>
          <w:rFonts w:hint="eastAsia" w:hAnsiTheme="minorEastAsia" w:eastAsiaTheme="minorEastAsia"/>
          <w:sz w:val="24"/>
        </w:rPr>
        <w:t>但是</w:t>
      </w:r>
      <w:r>
        <w:rPr>
          <w:rFonts w:hAnsiTheme="minorEastAsia" w:eastAsiaTheme="minorEastAsia"/>
          <w:sz w:val="24"/>
        </w:rPr>
        <w:t>，所有免疫学方法都存在抗原特异性的问题，现有的裂头蚴诊断抗原，无论是可溶性抗原、排泄分泌抗原，还是单一重组抗原（其中应用较多的是半胱氨酸蛋白酶），与亲缘关系相近的其它蠕虫，均存在一定程度的交叉反应，从而影响了该技术的应用，目前在生产实践中甚少应用。</w:t>
      </w:r>
    </w:p>
    <w:p w14:paraId="15559D3C">
      <w:pPr>
        <w:adjustRightInd w:val="0"/>
        <w:snapToGrid w:val="0"/>
        <w:spacing w:line="360" w:lineRule="auto"/>
        <w:ind w:firstLine="420"/>
        <w:rPr>
          <w:rFonts w:eastAsiaTheme="minorEastAsia"/>
          <w:sz w:val="24"/>
        </w:rPr>
      </w:pPr>
      <w:r>
        <w:rPr>
          <w:rFonts w:hAnsiTheme="minorEastAsia" w:eastAsiaTheme="minorEastAsia"/>
          <w:sz w:val="24"/>
        </w:rPr>
        <w:t>分子生物学方法可以</w:t>
      </w:r>
      <w:r>
        <w:rPr>
          <w:rFonts w:hint="eastAsia" w:hAnsiTheme="minorEastAsia" w:eastAsiaTheme="minorEastAsia"/>
          <w:sz w:val="24"/>
        </w:rPr>
        <w:t>进行裂头蚴种（系）的区分，</w:t>
      </w:r>
      <w:r>
        <w:rPr>
          <w:rFonts w:hAnsiTheme="minorEastAsia" w:eastAsiaTheme="minorEastAsia"/>
          <w:sz w:val="24"/>
        </w:rPr>
        <w:t>有效地</w:t>
      </w:r>
      <w:r>
        <w:rPr>
          <w:rFonts w:hint="eastAsia" w:hAnsiTheme="minorEastAsia" w:eastAsiaTheme="minorEastAsia"/>
          <w:sz w:val="24"/>
        </w:rPr>
        <w:t>解决</w:t>
      </w:r>
      <w:r>
        <w:rPr>
          <w:rFonts w:hAnsiTheme="minorEastAsia" w:eastAsiaTheme="minorEastAsia"/>
          <w:sz w:val="24"/>
        </w:rPr>
        <w:t>这个</w:t>
      </w:r>
      <w:r>
        <w:rPr>
          <w:rFonts w:hint="eastAsia" w:hAnsiTheme="minorEastAsia" w:eastAsiaTheme="minorEastAsia"/>
          <w:sz w:val="24"/>
        </w:rPr>
        <w:t>缺陷</w:t>
      </w:r>
      <w:r>
        <w:rPr>
          <w:rFonts w:hAnsiTheme="minorEastAsia" w:eastAsiaTheme="minorEastAsia"/>
          <w:sz w:val="24"/>
        </w:rPr>
        <w:t>，而</w:t>
      </w:r>
      <w:r>
        <w:rPr>
          <w:rFonts w:eastAsiaTheme="minorEastAsia"/>
          <w:sz w:val="24"/>
        </w:rPr>
        <w:t>且具有灵敏、特异等优点。目前，国内外PCR检测的靶基因较多，有</w:t>
      </w:r>
      <w:r>
        <w:rPr>
          <w:rFonts w:eastAsiaTheme="minorEastAsia"/>
          <w:i/>
          <w:sz w:val="24"/>
        </w:rPr>
        <w:t>cox</w:t>
      </w:r>
      <w:r>
        <w:rPr>
          <w:rFonts w:eastAsiaTheme="minorEastAsia"/>
          <w:sz w:val="24"/>
        </w:rPr>
        <w:t>1（</w:t>
      </w:r>
      <w:r>
        <w:rPr>
          <w:rFonts w:eastAsiaTheme="minorEastAsia"/>
          <w:kern w:val="0"/>
          <w:sz w:val="24"/>
        </w:rPr>
        <w:t>Zhu XQ et al., 2002; Liu W et al., 2010; Yanagida T et al., 2010; Tappe D et al., 2013; Boonyasiri A et al., 2014; Zhang X et al., 2015a; Zhang X et al., 2015b; Tang TH et al., 2017; Jeon HK et al., 2018; Hong X et al., 2020; Liu W et al., 2020; Bazsalovicsová E et al., 2022</w:t>
      </w:r>
      <w:r>
        <w:rPr>
          <w:rFonts w:eastAsiaTheme="minorEastAsia"/>
          <w:sz w:val="24"/>
        </w:rPr>
        <w:t>）、核糖体小亚基rRNA（</w:t>
      </w:r>
      <w:r>
        <w:rPr>
          <w:rFonts w:eastAsiaTheme="minorEastAsia"/>
          <w:sz w:val="24"/>
          <w:shd w:val="clear" w:color="auto" w:fill="FFFFFF"/>
        </w:rPr>
        <w:t>Small subunit ribosomal RNA, SSU rRNA，也常称为18S rRNA</w:t>
      </w:r>
      <w:r>
        <w:rPr>
          <w:rFonts w:eastAsiaTheme="minorEastAsia"/>
          <w:sz w:val="24"/>
        </w:rPr>
        <w:t>）（Kołodziej-Sobocińska M et al., 2014; Kołodziej-Sobocińska M et al., 2016; Zhang X et al., 2017; Kondzior E et al., 2018; Kondzior E et al., 2020）、核糖体大亚基rRNA（Large</w:t>
      </w:r>
      <w:r>
        <w:rPr>
          <w:rFonts w:eastAsiaTheme="minorEastAsia"/>
          <w:sz w:val="24"/>
          <w:shd w:val="clear" w:color="auto" w:fill="FFFFFF"/>
        </w:rPr>
        <w:t xml:space="preserve"> subunit ribosomal RNA, Ls rRNA，也常称为28S rRNA</w:t>
      </w:r>
      <w:r>
        <w:rPr>
          <w:rFonts w:eastAsiaTheme="minorEastAsia"/>
          <w:sz w:val="24"/>
        </w:rPr>
        <w:t>）（Zhang X et al., 2014; Meng Y et al., 2019）、NADH脱氢酶亚基1（</w:t>
      </w:r>
      <w:r>
        <w:rPr>
          <w:rFonts w:eastAsiaTheme="minorEastAsia"/>
          <w:kern w:val="0"/>
          <w:sz w:val="24"/>
        </w:rPr>
        <w:t xml:space="preserve">NADH dehydrogenase subunit 1, </w:t>
      </w:r>
      <w:r>
        <w:rPr>
          <w:rFonts w:eastAsiaTheme="minorEastAsia"/>
          <w:i/>
          <w:iCs/>
          <w:kern w:val="0"/>
          <w:sz w:val="24"/>
        </w:rPr>
        <w:t>nad</w:t>
      </w:r>
      <w:r>
        <w:rPr>
          <w:rFonts w:eastAsiaTheme="minorEastAsia"/>
          <w:kern w:val="0"/>
          <w:sz w:val="24"/>
        </w:rPr>
        <w:t>1</w:t>
      </w:r>
      <w:r>
        <w:rPr>
          <w:rFonts w:eastAsiaTheme="minorEastAsia"/>
          <w:sz w:val="24"/>
        </w:rPr>
        <w:t>）、核糖体内转录间隔区序列（internal transcribed spacer, ITS）（Lee SU et al., 1997; Dai RS et al., 2012; Ndosi BA et al., 2020）、</w:t>
      </w:r>
      <w:r>
        <w:rPr>
          <w:rFonts w:eastAsiaTheme="minorEastAsia"/>
          <w:i/>
          <w:sz w:val="24"/>
        </w:rPr>
        <w:t>cox</w:t>
      </w:r>
      <w:r>
        <w:rPr>
          <w:rFonts w:eastAsiaTheme="minorEastAsia"/>
          <w:sz w:val="24"/>
        </w:rPr>
        <w:t>3（</w:t>
      </w:r>
      <w:r>
        <w:rPr>
          <w:rFonts w:eastAsiaTheme="minorEastAsia"/>
          <w:kern w:val="0"/>
          <w:sz w:val="24"/>
        </w:rPr>
        <w:t>Tan L et al., 2017</w:t>
      </w:r>
      <w:r>
        <w:rPr>
          <w:rFonts w:eastAsiaTheme="minorEastAsia"/>
          <w:sz w:val="24"/>
        </w:rPr>
        <w:t>）基因等。但基于</w:t>
      </w:r>
      <w:r>
        <w:rPr>
          <w:rFonts w:eastAsiaTheme="minorEastAsia"/>
          <w:i/>
          <w:sz w:val="24"/>
        </w:rPr>
        <w:t>cox</w:t>
      </w:r>
      <w:r>
        <w:rPr>
          <w:rFonts w:eastAsiaTheme="minorEastAsia"/>
          <w:sz w:val="24"/>
        </w:rPr>
        <w:t>1的PCR方法应用最广，多数学者也认为</w:t>
      </w:r>
      <w:r>
        <w:rPr>
          <w:rFonts w:hAnsiTheme="minorEastAsia" w:eastAsiaTheme="minorEastAsia"/>
          <w:sz w:val="24"/>
        </w:rPr>
        <w:t>其鉴别效果更好（</w:t>
      </w:r>
      <w:r>
        <w:rPr>
          <w:rFonts w:eastAsiaTheme="minorEastAsia"/>
          <w:kern w:val="0"/>
          <w:sz w:val="24"/>
        </w:rPr>
        <w:t>Hong X et al., 2020</w:t>
      </w:r>
      <w:r>
        <w:rPr>
          <w:rFonts w:hint="eastAsia" w:eastAsiaTheme="minorEastAsia"/>
          <w:kern w:val="0"/>
          <w:sz w:val="24"/>
        </w:rPr>
        <w:t xml:space="preserve">; </w:t>
      </w:r>
      <w:r>
        <w:rPr>
          <w:rFonts w:eastAsiaTheme="minorEastAsia"/>
          <w:kern w:val="0"/>
          <w:sz w:val="24"/>
        </w:rPr>
        <w:t>Kuchta R</w:t>
      </w:r>
      <w:r>
        <w:rPr>
          <w:rFonts w:hint="eastAsia" w:eastAsiaTheme="minorEastAsia"/>
          <w:kern w:val="0"/>
          <w:sz w:val="24"/>
        </w:rPr>
        <w:t xml:space="preserve"> et al., 2021;</w:t>
      </w:r>
      <w:r>
        <w:rPr>
          <w:rFonts w:eastAsiaTheme="minorEastAsia"/>
          <w:kern w:val="0"/>
          <w:sz w:val="24"/>
        </w:rPr>
        <w:t xml:space="preserve"> Bazsalovicsová E et al., 2022</w:t>
      </w:r>
      <w:r>
        <w:rPr>
          <w:rFonts w:hint="eastAsia" w:eastAsiaTheme="minorEastAsia"/>
          <w:kern w:val="0"/>
          <w:sz w:val="24"/>
        </w:rPr>
        <w:t xml:space="preserve">; </w:t>
      </w:r>
      <w:r>
        <w:rPr>
          <w:rFonts w:eastAsiaTheme="minorEastAsia"/>
          <w:kern w:val="0"/>
          <w:sz w:val="24"/>
        </w:rPr>
        <w:t>Yamasaki H</w:t>
      </w:r>
      <w:r>
        <w:rPr>
          <w:rFonts w:hint="eastAsia" w:eastAsiaTheme="minorEastAsia"/>
          <w:kern w:val="0"/>
          <w:sz w:val="24"/>
        </w:rPr>
        <w:t xml:space="preserve"> et al., 2024</w:t>
      </w:r>
      <w:r>
        <w:rPr>
          <w:rFonts w:hAnsiTheme="minorEastAsia" w:eastAsiaTheme="minorEastAsia"/>
          <w:sz w:val="24"/>
        </w:rPr>
        <w:t>）。申请者所在实验室，采用基于</w:t>
      </w:r>
      <w:r>
        <w:rPr>
          <w:rFonts w:eastAsiaTheme="minorEastAsia"/>
          <w:i/>
          <w:sz w:val="24"/>
        </w:rPr>
        <w:t>cox</w:t>
      </w:r>
      <w:r>
        <w:rPr>
          <w:rFonts w:eastAsiaTheme="minorEastAsia"/>
          <w:sz w:val="24"/>
        </w:rPr>
        <w:t>1</w:t>
      </w:r>
      <w:r>
        <w:rPr>
          <w:rFonts w:hAnsiTheme="minorEastAsia" w:eastAsiaTheme="minorEastAsia"/>
          <w:sz w:val="24"/>
        </w:rPr>
        <w:t>和</w:t>
      </w:r>
      <w:r>
        <w:rPr>
          <w:rFonts w:eastAsiaTheme="minorEastAsia"/>
          <w:i/>
          <w:iCs/>
          <w:kern w:val="0"/>
          <w:sz w:val="24"/>
        </w:rPr>
        <w:t>nad</w:t>
      </w:r>
      <w:r>
        <w:rPr>
          <w:rFonts w:eastAsiaTheme="minorEastAsia"/>
          <w:kern w:val="0"/>
          <w:sz w:val="24"/>
        </w:rPr>
        <w:t>1</w:t>
      </w:r>
      <w:r>
        <w:rPr>
          <w:rFonts w:hAnsiTheme="minorEastAsia" w:eastAsiaTheme="minorEastAsia"/>
          <w:sz w:val="24"/>
        </w:rPr>
        <w:t>基因的</w:t>
      </w:r>
      <w:r>
        <w:rPr>
          <w:rFonts w:eastAsiaTheme="minorEastAsia"/>
          <w:sz w:val="24"/>
        </w:rPr>
        <w:t>PCR</w:t>
      </w:r>
      <w:r>
        <w:rPr>
          <w:rFonts w:hAnsiTheme="minorEastAsia" w:eastAsiaTheme="minorEastAsia"/>
          <w:sz w:val="24"/>
        </w:rPr>
        <w:t>方法检测上海、浙江等地蛙中分离的疑似曼氏迭宫绦虫裂头蚴，发现均能有效扩增，并成功鉴定虫种（</w:t>
      </w:r>
      <w:r>
        <w:rPr>
          <w:rFonts w:eastAsiaTheme="minorEastAsia"/>
          <w:sz w:val="24"/>
        </w:rPr>
        <w:t>Zhang X et al., 2020</w:t>
      </w:r>
      <w:r>
        <w:rPr>
          <w:rFonts w:hAnsiTheme="minorEastAsia" w:eastAsiaTheme="minorEastAsia"/>
          <w:sz w:val="24"/>
        </w:rPr>
        <w:t>）。</w:t>
      </w:r>
    </w:p>
    <w:p w14:paraId="5957C64C">
      <w:pPr>
        <w:pStyle w:val="3"/>
        <w:keepNext w:val="0"/>
        <w:keepLines w:val="0"/>
        <w:adjustRightInd w:val="0"/>
        <w:snapToGrid w:val="0"/>
        <w:ind w:firstLine="480"/>
        <w:rPr>
          <w:rFonts w:ascii="Times New Roman" w:hAnsi="Times New Roman" w:eastAsiaTheme="minorEastAsia"/>
          <w:b w:val="0"/>
          <w:sz w:val="28"/>
        </w:rPr>
      </w:pPr>
      <w:r>
        <w:rPr>
          <w:rFonts w:ascii="Times New Roman" w:hAnsiTheme="minorEastAsia" w:eastAsiaTheme="minorEastAsia"/>
          <w:b w:val="0"/>
          <w:sz w:val="24"/>
        </w:rPr>
        <w:t>鉴于上述因素，本标准选择目检法和基于</w:t>
      </w:r>
      <w:r>
        <w:rPr>
          <w:rFonts w:ascii="Times New Roman" w:hAnsi="Times New Roman" w:eastAsiaTheme="minorEastAsia"/>
          <w:b w:val="0"/>
          <w:i/>
          <w:sz w:val="24"/>
        </w:rPr>
        <w:t>cox</w:t>
      </w:r>
      <w:r>
        <w:rPr>
          <w:rFonts w:ascii="Times New Roman" w:hAnsi="Times New Roman" w:eastAsiaTheme="minorEastAsia"/>
          <w:b w:val="0"/>
          <w:sz w:val="24"/>
        </w:rPr>
        <w:t>1</w:t>
      </w:r>
      <w:r>
        <w:rPr>
          <w:rFonts w:ascii="Times New Roman" w:hAnsiTheme="minorEastAsia" w:eastAsiaTheme="minorEastAsia"/>
          <w:b w:val="0"/>
          <w:sz w:val="24"/>
        </w:rPr>
        <w:t>部分基因的</w:t>
      </w:r>
      <w:r>
        <w:rPr>
          <w:rFonts w:ascii="Times New Roman" w:hAnsi="Times New Roman" w:eastAsiaTheme="minorEastAsia"/>
          <w:b w:val="0"/>
          <w:sz w:val="24"/>
        </w:rPr>
        <w:t>PCR</w:t>
      </w:r>
      <w:r>
        <w:rPr>
          <w:rFonts w:ascii="Times New Roman" w:hAnsiTheme="minorEastAsia" w:eastAsiaTheme="minorEastAsia"/>
          <w:b w:val="0"/>
          <w:sz w:val="24"/>
        </w:rPr>
        <w:t>方法作为动物源性食品中裂头蚴的检测方法，可兼顾生产</w:t>
      </w:r>
      <w:r>
        <w:rPr>
          <w:rFonts w:hint="eastAsia" w:ascii="Times New Roman" w:hAnsiTheme="minorEastAsia" w:eastAsiaTheme="minorEastAsia"/>
          <w:b w:val="0"/>
          <w:sz w:val="24"/>
        </w:rPr>
        <w:t>一线</w:t>
      </w:r>
      <w:r>
        <w:rPr>
          <w:rFonts w:ascii="Times New Roman" w:hAnsiTheme="minorEastAsia" w:eastAsiaTheme="minorEastAsia"/>
          <w:b w:val="0"/>
          <w:sz w:val="24"/>
        </w:rPr>
        <w:t>和实验室鉴定使用。</w:t>
      </w:r>
    </w:p>
    <w:p w14:paraId="637347C8">
      <w:pPr>
        <w:pStyle w:val="3"/>
        <w:keepNext w:val="0"/>
        <w:keepLines w:val="0"/>
        <w:wordWrap w:val="0"/>
        <w:ind w:firstLine="562"/>
        <w:rPr>
          <w:rFonts w:cs="Arial" w:asciiTheme="minorEastAsia" w:hAnsiTheme="minorEastAsia" w:eastAsiaTheme="minorEastAsia"/>
          <w:color w:val="00B0F0"/>
          <w:sz w:val="24"/>
        </w:rPr>
      </w:pPr>
      <w:r>
        <w:rPr>
          <w:rFonts w:asciiTheme="minorEastAsia" w:hAnsiTheme="minorEastAsia" w:eastAsiaTheme="minorEastAsia"/>
          <w:sz w:val="28"/>
        </w:rPr>
        <w:t>（三）</w:t>
      </w:r>
      <w:r>
        <w:rPr>
          <w:rFonts w:hint="eastAsia" w:asciiTheme="minorEastAsia" w:hAnsiTheme="minorEastAsia" w:eastAsiaTheme="minorEastAsia"/>
          <w:sz w:val="28"/>
        </w:rPr>
        <w:t>新旧标准对比（适用于修订标准的情况）</w:t>
      </w:r>
    </w:p>
    <w:p w14:paraId="2EC7D8C3">
      <w:pPr>
        <w:pStyle w:val="2"/>
        <w:keepNext w:val="0"/>
        <w:keepLines w:val="0"/>
        <w:adjustRightInd w:val="0"/>
        <w:snapToGrid w:val="0"/>
        <w:ind w:firstLine="480"/>
        <w:rPr>
          <w:rFonts w:asciiTheme="minorEastAsia" w:hAnsiTheme="minorEastAsia" w:eastAsiaTheme="minorEastAsia"/>
          <w:sz w:val="24"/>
          <w:szCs w:val="24"/>
        </w:rPr>
      </w:pPr>
      <w:r>
        <w:rPr>
          <w:rFonts w:hint="eastAsia" w:asciiTheme="minorEastAsia" w:hAnsiTheme="minorEastAsia" w:eastAsiaTheme="minorEastAsia"/>
          <w:sz w:val="24"/>
          <w:szCs w:val="24"/>
        </w:rPr>
        <w:t>无。</w:t>
      </w:r>
    </w:p>
    <w:p w14:paraId="5B2DFBCF">
      <w:pPr>
        <w:adjustRightInd w:val="0"/>
        <w:snapToGrid w:val="0"/>
        <w:spacing w:line="360" w:lineRule="auto"/>
      </w:pPr>
    </w:p>
    <w:p w14:paraId="55BEF0F2">
      <w:pPr>
        <w:pStyle w:val="2"/>
        <w:keepNext w:val="0"/>
        <w:keepLines w:val="0"/>
        <w:wordWrap w:val="0"/>
        <w:ind w:firstLine="560"/>
        <w:rPr>
          <w:sz w:val="28"/>
        </w:rPr>
      </w:pPr>
      <w:r>
        <w:rPr>
          <w:sz w:val="28"/>
        </w:rPr>
        <w:t>三、主要试验或验证的分析、综述报告，技术经济论证，预期的经济效果</w:t>
      </w:r>
    </w:p>
    <w:p w14:paraId="54F62D54">
      <w:pPr>
        <w:adjustRightInd w:val="0"/>
        <w:snapToGrid w:val="0"/>
        <w:spacing w:line="360" w:lineRule="auto"/>
        <w:ind w:firstLine="472" w:firstLineChars="196"/>
        <w:rPr>
          <w:rFonts w:eastAsiaTheme="minorEastAsia"/>
          <w:b/>
          <w:bCs/>
          <w:sz w:val="24"/>
        </w:rPr>
      </w:pPr>
      <w:r>
        <w:rPr>
          <w:rFonts w:hAnsiTheme="minorEastAsia" w:eastAsiaTheme="minorEastAsia"/>
          <w:b/>
          <w:bCs/>
          <w:sz w:val="24"/>
        </w:rPr>
        <w:t>（一）主要试验或验证的分析</w:t>
      </w:r>
    </w:p>
    <w:p w14:paraId="2E90CECA">
      <w:pPr>
        <w:adjustRightInd w:val="0"/>
        <w:snapToGrid w:val="0"/>
        <w:spacing w:line="360" w:lineRule="auto"/>
        <w:ind w:firstLine="420"/>
        <w:rPr>
          <w:rFonts w:eastAsiaTheme="minorEastAsia"/>
          <w:sz w:val="24"/>
        </w:rPr>
      </w:pPr>
      <w:r>
        <w:rPr>
          <w:rFonts w:eastAsiaTheme="minorEastAsia"/>
          <w:sz w:val="24"/>
        </w:rPr>
        <w:t>1</w:t>
      </w:r>
      <w:r>
        <w:rPr>
          <w:rFonts w:hAnsiTheme="minorEastAsia" w:eastAsiaTheme="minorEastAsia"/>
          <w:sz w:val="24"/>
        </w:rPr>
        <w:t>、建立了基于</w:t>
      </w:r>
      <w:r>
        <w:rPr>
          <w:rFonts w:eastAsiaTheme="minorEastAsia"/>
          <w:i/>
          <w:sz w:val="24"/>
        </w:rPr>
        <w:t>cox</w:t>
      </w:r>
      <w:r>
        <w:rPr>
          <w:rFonts w:eastAsiaTheme="minorEastAsia"/>
          <w:sz w:val="24"/>
        </w:rPr>
        <w:t>1</w:t>
      </w:r>
      <w:r>
        <w:rPr>
          <w:rFonts w:hAnsiTheme="minorEastAsia" w:eastAsiaTheme="minorEastAsia"/>
          <w:sz w:val="24"/>
        </w:rPr>
        <w:t>的</w:t>
      </w:r>
      <w:r>
        <w:rPr>
          <w:rFonts w:eastAsiaTheme="minorEastAsia"/>
          <w:sz w:val="24"/>
        </w:rPr>
        <w:t>PCR</w:t>
      </w:r>
      <w:r>
        <w:rPr>
          <w:rFonts w:hint="eastAsia" w:eastAsiaTheme="minorEastAsia"/>
          <w:sz w:val="24"/>
        </w:rPr>
        <w:t>检测</w:t>
      </w:r>
      <w:r>
        <w:rPr>
          <w:rFonts w:hAnsiTheme="minorEastAsia" w:eastAsiaTheme="minorEastAsia"/>
          <w:sz w:val="24"/>
        </w:rPr>
        <w:t>技术，分析了其敏感性和特异性；将建立的</w:t>
      </w:r>
      <w:r>
        <w:rPr>
          <w:rFonts w:eastAsiaTheme="minorEastAsia"/>
          <w:sz w:val="24"/>
        </w:rPr>
        <w:t>PCR</w:t>
      </w:r>
      <w:r>
        <w:rPr>
          <w:rFonts w:hAnsiTheme="minorEastAsia" w:eastAsiaTheme="minorEastAsia"/>
          <w:sz w:val="24"/>
        </w:rPr>
        <w:t>技术应用于上海、重庆、山东、广东、浙江猪肉及血清、牦牛肉、蛙等的检测。其中上海猪肉的总阳性率为</w:t>
      </w:r>
      <w:r>
        <w:rPr>
          <w:rFonts w:eastAsiaTheme="minorEastAsia"/>
          <w:sz w:val="24"/>
        </w:rPr>
        <w:t>0.53%</w:t>
      </w:r>
      <w:r>
        <w:rPr>
          <w:rFonts w:hAnsiTheme="minorEastAsia" w:eastAsiaTheme="minorEastAsia"/>
          <w:sz w:val="24"/>
        </w:rPr>
        <w:t>（</w:t>
      </w:r>
      <w:r>
        <w:rPr>
          <w:rFonts w:eastAsiaTheme="minorEastAsia"/>
          <w:sz w:val="24"/>
        </w:rPr>
        <w:t>6/1129</w:t>
      </w:r>
      <w:r>
        <w:rPr>
          <w:rFonts w:hAnsiTheme="minorEastAsia" w:eastAsiaTheme="minorEastAsia"/>
          <w:sz w:val="24"/>
        </w:rPr>
        <w:t>），重庆猪肉的总阳性率为</w:t>
      </w:r>
      <w:r>
        <w:rPr>
          <w:rFonts w:eastAsiaTheme="minorEastAsia"/>
          <w:sz w:val="24"/>
        </w:rPr>
        <w:t>0.37%</w:t>
      </w:r>
      <w:r>
        <w:rPr>
          <w:rFonts w:hAnsiTheme="minorEastAsia" w:eastAsiaTheme="minorEastAsia"/>
          <w:sz w:val="24"/>
        </w:rPr>
        <w:t>（</w:t>
      </w:r>
      <w:r>
        <w:rPr>
          <w:rFonts w:eastAsiaTheme="minorEastAsia"/>
          <w:sz w:val="24"/>
        </w:rPr>
        <w:t>4/1073</w:t>
      </w:r>
      <w:r>
        <w:rPr>
          <w:rFonts w:hAnsiTheme="minorEastAsia" w:eastAsiaTheme="minorEastAsia"/>
          <w:sz w:val="24"/>
        </w:rPr>
        <w:t>），广东的总阳性率为</w:t>
      </w:r>
      <w:r>
        <w:rPr>
          <w:rFonts w:eastAsiaTheme="minorEastAsia"/>
          <w:sz w:val="24"/>
        </w:rPr>
        <w:t>0.91</w:t>
      </w:r>
      <w:r>
        <w:rPr>
          <w:rFonts w:hAnsiTheme="minorEastAsia" w:eastAsiaTheme="minorEastAsia"/>
          <w:sz w:val="24"/>
        </w:rPr>
        <w:t>（</w:t>
      </w:r>
      <w:r>
        <w:rPr>
          <w:rFonts w:eastAsiaTheme="minorEastAsia"/>
          <w:sz w:val="24"/>
        </w:rPr>
        <w:t>6/658</w:t>
      </w:r>
      <w:r>
        <w:rPr>
          <w:rFonts w:hAnsiTheme="minorEastAsia" w:eastAsiaTheme="minorEastAsia"/>
          <w:sz w:val="24"/>
        </w:rPr>
        <w:t>）；长三角地区蛙的总阳性率为</w:t>
      </w:r>
      <w:r>
        <w:rPr>
          <w:rFonts w:eastAsiaTheme="minorEastAsia"/>
          <w:sz w:val="24"/>
        </w:rPr>
        <w:t>4.08</w:t>
      </w:r>
      <w:r>
        <w:rPr>
          <w:rFonts w:hAnsiTheme="minorEastAsia" w:eastAsiaTheme="minorEastAsia"/>
          <w:sz w:val="24"/>
        </w:rPr>
        <w:t>（</w:t>
      </w:r>
      <w:r>
        <w:rPr>
          <w:rFonts w:eastAsiaTheme="minorEastAsia"/>
          <w:sz w:val="24"/>
        </w:rPr>
        <w:t>19/466</w:t>
      </w:r>
      <w:r>
        <w:rPr>
          <w:rFonts w:hAnsiTheme="minorEastAsia" w:eastAsiaTheme="minorEastAsia"/>
          <w:sz w:val="24"/>
        </w:rPr>
        <w:t>）。</w:t>
      </w:r>
    </w:p>
    <w:p w14:paraId="62766D00">
      <w:pPr>
        <w:adjustRightInd w:val="0"/>
        <w:snapToGrid w:val="0"/>
        <w:spacing w:line="360" w:lineRule="auto"/>
        <w:ind w:firstLine="420"/>
        <w:rPr>
          <w:rFonts w:eastAsiaTheme="minorEastAsia"/>
          <w:sz w:val="24"/>
        </w:rPr>
      </w:pPr>
      <w:r>
        <w:rPr>
          <w:rFonts w:eastAsiaTheme="minorEastAsia"/>
          <w:sz w:val="24"/>
        </w:rPr>
        <w:t>2</w:t>
      </w:r>
      <w:r>
        <w:rPr>
          <w:rFonts w:hAnsiTheme="minorEastAsia" w:eastAsiaTheme="minorEastAsia"/>
          <w:sz w:val="24"/>
        </w:rPr>
        <w:t>、克隆表达了曼氏跌宫绦虫裂头蚴半胱氨酸蛋白酶</w:t>
      </w:r>
      <w:r>
        <w:rPr>
          <w:rFonts w:hint="eastAsia" w:hAnsi="宋体"/>
          <w:sz w:val="24"/>
        </w:rPr>
        <w:t>（</w:t>
      </w:r>
      <w:r>
        <w:rPr>
          <w:i/>
          <w:sz w:val="24"/>
        </w:rPr>
        <w:t>Spirometra mansoni</w:t>
      </w:r>
      <w:r>
        <w:rPr>
          <w:rFonts w:hint="eastAsia" w:hAnsi="宋体"/>
          <w:sz w:val="24"/>
        </w:rPr>
        <w:t xml:space="preserve"> </w:t>
      </w:r>
      <w:r>
        <w:rPr>
          <w:sz w:val="24"/>
        </w:rPr>
        <w:t>cysteine protease</w:t>
      </w:r>
      <w:r>
        <w:rPr>
          <w:rFonts w:hint="eastAsia"/>
          <w:sz w:val="24"/>
        </w:rPr>
        <w:t>, SmCP</w:t>
      </w:r>
      <w:r>
        <w:rPr>
          <w:rFonts w:hint="eastAsia" w:hAnsi="宋体"/>
          <w:sz w:val="24"/>
        </w:rPr>
        <w:t>）</w:t>
      </w:r>
      <w:r>
        <w:rPr>
          <w:rFonts w:hAnsiTheme="minorEastAsia" w:eastAsiaTheme="minorEastAsia"/>
          <w:sz w:val="24"/>
        </w:rPr>
        <w:t>的编码基因，重组</w:t>
      </w:r>
      <w:r>
        <w:rPr>
          <w:rFonts w:eastAsiaTheme="minorEastAsia"/>
          <w:sz w:val="24"/>
        </w:rPr>
        <w:t>SmCP</w:t>
      </w:r>
      <w:r>
        <w:rPr>
          <w:rFonts w:hAnsiTheme="minorEastAsia" w:eastAsiaTheme="minorEastAsia"/>
          <w:sz w:val="24"/>
        </w:rPr>
        <w:t>（</w:t>
      </w:r>
      <w:r>
        <w:rPr>
          <w:rFonts w:hint="eastAsia" w:hAnsiTheme="minorEastAsia" w:eastAsiaTheme="minorEastAsia"/>
          <w:sz w:val="24"/>
        </w:rPr>
        <w:t xml:space="preserve">recombinant SmCP, </w:t>
      </w:r>
      <w:r>
        <w:rPr>
          <w:rFonts w:eastAsiaTheme="minorEastAsia"/>
          <w:sz w:val="24"/>
        </w:rPr>
        <w:t>rSmCP</w:t>
      </w:r>
      <w:r>
        <w:rPr>
          <w:rFonts w:hAnsiTheme="minorEastAsia" w:eastAsiaTheme="minorEastAsia"/>
          <w:sz w:val="24"/>
        </w:rPr>
        <w:t>）</w:t>
      </w:r>
      <w:r>
        <w:rPr>
          <w:rFonts w:hint="eastAsia" w:hAnsiTheme="minorEastAsia" w:eastAsiaTheme="minorEastAsia"/>
          <w:sz w:val="24"/>
        </w:rPr>
        <w:t>的</w:t>
      </w:r>
      <w:r>
        <w:rPr>
          <w:rFonts w:hAnsiTheme="minorEastAsia" w:eastAsiaTheme="minorEastAsia"/>
          <w:sz w:val="24"/>
        </w:rPr>
        <w:t>大小约为</w:t>
      </w:r>
      <w:r>
        <w:rPr>
          <w:rFonts w:eastAsiaTheme="minorEastAsia"/>
          <w:sz w:val="24"/>
        </w:rPr>
        <w:t>37 kDa</w:t>
      </w:r>
      <w:r>
        <w:rPr>
          <w:rFonts w:hAnsiTheme="minorEastAsia" w:eastAsiaTheme="minorEastAsia"/>
          <w:sz w:val="24"/>
        </w:rPr>
        <w:t>，主要以包涵体形式存在。表达产物有良好的反应原性，能与小鼠感染血清反应。</w:t>
      </w:r>
    </w:p>
    <w:p w14:paraId="6669D304">
      <w:pPr>
        <w:adjustRightInd w:val="0"/>
        <w:snapToGrid w:val="0"/>
        <w:spacing w:line="360" w:lineRule="auto"/>
        <w:ind w:firstLine="420"/>
        <w:rPr>
          <w:rFonts w:eastAsiaTheme="minorEastAsia"/>
          <w:sz w:val="24"/>
        </w:rPr>
      </w:pPr>
      <w:r>
        <w:rPr>
          <w:rFonts w:eastAsiaTheme="minorEastAsia"/>
          <w:sz w:val="24"/>
        </w:rPr>
        <w:t>3</w:t>
      </w:r>
      <w:r>
        <w:rPr>
          <w:rFonts w:hAnsiTheme="minorEastAsia" w:eastAsiaTheme="minorEastAsia"/>
          <w:sz w:val="24"/>
        </w:rPr>
        <w:t>、利用重组表达的</w:t>
      </w:r>
      <w:r>
        <w:rPr>
          <w:rFonts w:eastAsiaTheme="minorEastAsia"/>
          <w:sz w:val="24"/>
        </w:rPr>
        <w:t>rSmCP</w:t>
      </w:r>
      <w:r>
        <w:rPr>
          <w:rFonts w:hAnsiTheme="minorEastAsia" w:eastAsiaTheme="minorEastAsia"/>
          <w:sz w:val="24"/>
        </w:rPr>
        <w:t>、可溶性蛋白及排泄分泌抗原作为包被抗原，建立了检测抗体的间接</w:t>
      </w:r>
      <w:r>
        <w:rPr>
          <w:rFonts w:eastAsiaTheme="minorEastAsia"/>
          <w:sz w:val="24"/>
        </w:rPr>
        <w:t>ELISA</w:t>
      </w:r>
      <w:r>
        <w:rPr>
          <w:rFonts w:hAnsiTheme="minorEastAsia" w:eastAsiaTheme="minorEastAsia"/>
          <w:sz w:val="24"/>
        </w:rPr>
        <w:t>技术。对小鼠感染裂头蚴后的血清进行检测，发现小鼠在感染后</w:t>
      </w:r>
      <w:r>
        <w:rPr>
          <w:rFonts w:eastAsiaTheme="minorEastAsia"/>
          <w:sz w:val="24"/>
        </w:rPr>
        <w:t>6 d</w:t>
      </w:r>
      <w:r>
        <w:rPr>
          <w:rFonts w:hAnsiTheme="minorEastAsia" w:eastAsiaTheme="minorEastAsia"/>
          <w:sz w:val="24"/>
        </w:rPr>
        <w:t>（</w:t>
      </w:r>
      <w:r>
        <w:rPr>
          <w:rFonts w:hint="eastAsia" w:hAnsiTheme="minorEastAsia" w:eastAsiaTheme="minorEastAsia"/>
          <w:sz w:val="24"/>
        </w:rPr>
        <w:t xml:space="preserve">day 6 post infection, </w:t>
      </w:r>
      <w:r>
        <w:rPr>
          <w:rFonts w:eastAsiaTheme="minorEastAsia"/>
          <w:sz w:val="24"/>
        </w:rPr>
        <w:t>D6PI</w:t>
      </w:r>
      <w:r>
        <w:rPr>
          <w:rFonts w:hAnsiTheme="minorEastAsia" w:eastAsiaTheme="minorEastAsia"/>
          <w:sz w:val="24"/>
        </w:rPr>
        <w:t>）抗体显著上升，</w:t>
      </w:r>
      <w:r>
        <w:rPr>
          <w:rFonts w:eastAsiaTheme="minorEastAsia"/>
          <w:sz w:val="24"/>
        </w:rPr>
        <w:t>OD</w:t>
      </w:r>
      <w:r>
        <w:rPr>
          <w:rFonts w:hAnsiTheme="minorEastAsia" w:eastAsiaTheme="minorEastAsia"/>
          <w:sz w:val="24"/>
        </w:rPr>
        <w:t>值达</w:t>
      </w:r>
      <w:r>
        <w:rPr>
          <w:rFonts w:eastAsiaTheme="minorEastAsia"/>
          <w:sz w:val="24"/>
        </w:rPr>
        <w:t>1.2275</w:t>
      </w:r>
      <w:r>
        <w:rPr>
          <w:rFonts w:hAnsiTheme="minorEastAsia" w:eastAsiaTheme="minorEastAsia"/>
          <w:sz w:val="24"/>
        </w:rPr>
        <w:t>，至</w:t>
      </w:r>
      <w:r>
        <w:rPr>
          <w:rFonts w:eastAsiaTheme="minorEastAsia"/>
          <w:sz w:val="24"/>
        </w:rPr>
        <w:t>D48PI</w:t>
      </w:r>
      <w:r>
        <w:rPr>
          <w:rFonts w:hAnsiTheme="minorEastAsia" w:eastAsiaTheme="minorEastAsia"/>
          <w:sz w:val="24"/>
        </w:rPr>
        <w:t>时达到最高峰，</w:t>
      </w:r>
      <w:r>
        <w:rPr>
          <w:rFonts w:eastAsiaTheme="minorEastAsia"/>
          <w:sz w:val="24"/>
        </w:rPr>
        <w:t>OD</w:t>
      </w:r>
      <w:r>
        <w:rPr>
          <w:rFonts w:hAnsiTheme="minorEastAsia" w:eastAsiaTheme="minorEastAsia"/>
          <w:sz w:val="24"/>
        </w:rPr>
        <w:t>值达</w:t>
      </w:r>
      <w:r>
        <w:rPr>
          <w:rFonts w:eastAsiaTheme="minorEastAsia"/>
          <w:sz w:val="24"/>
        </w:rPr>
        <w:t>2.214</w:t>
      </w:r>
      <w:r>
        <w:rPr>
          <w:rFonts w:hAnsiTheme="minorEastAsia" w:eastAsiaTheme="minorEastAsia"/>
          <w:sz w:val="24"/>
        </w:rPr>
        <w:t>；此后，明显下降，至</w:t>
      </w:r>
      <w:r>
        <w:rPr>
          <w:rFonts w:eastAsiaTheme="minorEastAsia"/>
          <w:sz w:val="24"/>
        </w:rPr>
        <w:t>D51PI</w:t>
      </w:r>
      <w:r>
        <w:rPr>
          <w:rFonts w:hAnsiTheme="minorEastAsia" w:eastAsiaTheme="minorEastAsia"/>
          <w:sz w:val="24"/>
        </w:rPr>
        <w:t>时将至</w:t>
      </w:r>
      <w:r>
        <w:rPr>
          <w:rFonts w:eastAsiaTheme="minorEastAsia"/>
          <w:sz w:val="24"/>
        </w:rPr>
        <w:t>0.552</w:t>
      </w:r>
      <w:r>
        <w:rPr>
          <w:rFonts w:hAnsiTheme="minorEastAsia" w:eastAsiaTheme="minorEastAsia"/>
          <w:sz w:val="24"/>
        </w:rPr>
        <w:t>，此后有所回升，在</w:t>
      </w:r>
      <w:r>
        <w:rPr>
          <w:rFonts w:eastAsiaTheme="minorEastAsia"/>
          <w:sz w:val="24"/>
        </w:rPr>
        <w:t>D63PI</w:t>
      </w:r>
      <w:r>
        <w:rPr>
          <w:rFonts w:hAnsiTheme="minorEastAsia" w:eastAsiaTheme="minorEastAsia"/>
          <w:sz w:val="24"/>
        </w:rPr>
        <w:t>时达</w:t>
      </w:r>
      <w:r>
        <w:rPr>
          <w:rFonts w:eastAsiaTheme="minorEastAsia"/>
          <w:sz w:val="24"/>
        </w:rPr>
        <w:t>0.859</w:t>
      </w:r>
      <w:r>
        <w:rPr>
          <w:rFonts w:hAnsiTheme="minorEastAsia" w:eastAsiaTheme="minorEastAsia"/>
          <w:sz w:val="24"/>
        </w:rPr>
        <w:t>。</w:t>
      </w:r>
    </w:p>
    <w:p w14:paraId="05E842A2">
      <w:pPr>
        <w:adjustRightInd w:val="0"/>
        <w:snapToGrid w:val="0"/>
        <w:spacing w:line="360" w:lineRule="auto"/>
        <w:ind w:firstLine="420"/>
        <w:rPr>
          <w:rFonts w:eastAsiaTheme="minorEastAsia"/>
          <w:sz w:val="24"/>
        </w:rPr>
      </w:pPr>
      <w:r>
        <w:rPr>
          <w:rFonts w:eastAsiaTheme="minorEastAsia"/>
          <w:sz w:val="24"/>
        </w:rPr>
        <w:t>4</w:t>
      </w:r>
      <w:r>
        <w:rPr>
          <w:rFonts w:hAnsiTheme="minorEastAsia" w:eastAsiaTheme="minorEastAsia"/>
          <w:sz w:val="24"/>
        </w:rPr>
        <w:t>、制备了曼氏跌宫绦虫裂头蚴的可溶性抗原；免疫兔子，制备了抗血清；利用间接</w:t>
      </w:r>
      <w:r>
        <w:rPr>
          <w:rFonts w:eastAsiaTheme="minorEastAsia"/>
          <w:sz w:val="24"/>
        </w:rPr>
        <w:t>ELISA</w:t>
      </w:r>
      <w:r>
        <w:rPr>
          <w:rFonts w:hAnsiTheme="minorEastAsia" w:eastAsiaTheme="minorEastAsia"/>
          <w:sz w:val="24"/>
        </w:rPr>
        <w:t>技术检测，发现新西兰白兔在首免后，抗体水平迅速上升，二免时达到</w:t>
      </w:r>
      <w:r>
        <w:rPr>
          <w:rFonts w:eastAsiaTheme="minorEastAsia"/>
          <w:sz w:val="24"/>
        </w:rPr>
        <w:t>0.9</w:t>
      </w:r>
      <w:r>
        <w:rPr>
          <w:rFonts w:hAnsiTheme="minorEastAsia" w:eastAsiaTheme="minorEastAsia"/>
          <w:sz w:val="24"/>
        </w:rPr>
        <w:t>左右，三免后抗体水平增长速度放缓。</w:t>
      </w:r>
    </w:p>
    <w:p w14:paraId="5732D1F3">
      <w:pPr>
        <w:adjustRightInd w:val="0"/>
        <w:snapToGrid w:val="0"/>
        <w:spacing w:line="360" w:lineRule="auto"/>
        <w:ind w:firstLine="420"/>
        <w:rPr>
          <w:rFonts w:eastAsiaTheme="minorEastAsia"/>
          <w:sz w:val="24"/>
        </w:rPr>
      </w:pPr>
      <w:r>
        <w:rPr>
          <w:rFonts w:eastAsiaTheme="minorEastAsia"/>
          <w:sz w:val="24"/>
        </w:rPr>
        <w:t>5</w:t>
      </w:r>
      <w:r>
        <w:rPr>
          <w:rFonts w:hAnsiTheme="minorEastAsia" w:eastAsiaTheme="minorEastAsia"/>
          <w:sz w:val="24"/>
        </w:rPr>
        <w:t>、采用免疫蛋白组学技术，对裂头蚴诊断抗原进行了筛选。结果，阴性血清检测发现存在</w:t>
      </w:r>
      <w:r>
        <w:rPr>
          <w:rFonts w:eastAsiaTheme="minorEastAsia"/>
          <w:sz w:val="24"/>
        </w:rPr>
        <w:t>296</w:t>
      </w:r>
      <w:r>
        <w:rPr>
          <w:rFonts w:hAnsiTheme="minorEastAsia" w:eastAsiaTheme="minorEastAsia"/>
          <w:sz w:val="24"/>
        </w:rPr>
        <w:t>个斑点；阳性血清组存在</w:t>
      </w:r>
      <w:r>
        <w:rPr>
          <w:rFonts w:eastAsiaTheme="minorEastAsia"/>
          <w:sz w:val="24"/>
        </w:rPr>
        <w:t>229</w:t>
      </w:r>
      <w:r>
        <w:rPr>
          <w:rFonts w:hAnsiTheme="minorEastAsia" w:eastAsiaTheme="minorEastAsia"/>
          <w:sz w:val="24"/>
        </w:rPr>
        <w:t>个斑点，扣除阴性组相同的斑点外，共获得了</w:t>
      </w:r>
      <w:r>
        <w:rPr>
          <w:rFonts w:eastAsiaTheme="minorEastAsia"/>
          <w:sz w:val="24"/>
        </w:rPr>
        <w:t>20</w:t>
      </w:r>
      <w:r>
        <w:rPr>
          <w:rFonts w:hAnsiTheme="minorEastAsia" w:eastAsiaTheme="minorEastAsia"/>
          <w:sz w:val="24"/>
        </w:rPr>
        <w:t>个差异斑点；测定了上述斑点的氨基酸序列，对其中部分斑点的编码基因序列进行了克隆和表达；利用重组抗原，建立的间接</w:t>
      </w:r>
      <w:r>
        <w:rPr>
          <w:rFonts w:eastAsiaTheme="minorEastAsia"/>
          <w:sz w:val="24"/>
        </w:rPr>
        <w:t>ELISA</w:t>
      </w:r>
      <w:r>
        <w:rPr>
          <w:rFonts w:hAnsiTheme="minorEastAsia" w:eastAsiaTheme="minorEastAsia"/>
          <w:sz w:val="24"/>
        </w:rPr>
        <w:t>诊断技术，目前正在对这些方法进行比较和筛选。</w:t>
      </w:r>
    </w:p>
    <w:p w14:paraId="76A57E52">
      <w:pPr>
        <w:adjustRightInd w:val="0"/>
        <w:snapToGrid w:val="0"/>
        <w:spacing w:line="360" w:lineRule="auto"/>
        <w:ind w:firstLine="480" w:firstLineChars="200"/>
        <w:rPr>
          <w:rFonts w:eastAsiaTheme="minorEastAsia"/>
          <w:sz w:val="24"/>
        </w:rPr>
      </w:pPr>
      <w:r>
        <w:rPr>
          <w:rFonts w:eastAsiaTheme="minorEastAsia"/>
          <w:sz w:val="24"/>
        </w:rPr>
        <w:t>6</w:t>
      </w:r>
      <w:r>
        <w:rPr>
          <w:rFonts w:hAnsiTheme="minorEastAsia" w:eastAsiaTheme="minorEastAsia"/>
          <w:sz w:val="24"/>
        </w:rPr>
        <w:t>、对蛙裂头蚴感染情况进行了检测。对上海闵行、江苏海门、浙江嘉兴</w:t>
      </w:r>
      <w:r>
        <w:rPr>
          <w:rFonts w:hint="eastAsia" w:hAnsiTheme="minorEastAsia" w:eastAsiaTheme="minorEastAsia"/>
          <w:sz w:val="24"/>
        </w:rPr>
        <w:t>等</w:t>
      </w:r>
      <w:r>
        <w:rPr>
          <w:rFonts w:hAnsiTheme="minorEastAsia" w:eastAsiaTheme="minorEastAsia"/>
          <w:sz w:val="24"/>
        </w:rPr>
        <w:t>区采集的</w:t>
      </w:r>
      <w:r>
        <w:rPr>
          <w:rFonts w:eastAsiaTheme="minorEastAsia"/>
          <w:sz w:val="24"/>
        </w:rPr>
        <w:t>3</w:t>
      </w:r>
      <w:r>
        <w:rPr>
          <w:rFonts w:hint="eastAsia" w:eastAsiaTheme="minorEastAsia"/>
          <w:sz w:val="24"/>
        </w:rPr>
        <w:t>8</w:t>
      </w:r>
      <w:r>
        <w:rPr>
          <w:rFonts w:eastAsiaTheme="minorEastAsia"/>
          <w:sz w:val="24"/>
        </w:rPr>
        <w:t>6</w:t>
      </w:r>
      <w:r>
        <w:rPr>
          <w:rFonts w:hAnsiTheme="minorEastAsia" w:eastAsiaTheme="minorEastAsia"/>
          <w:sz w:val="24"/>
        </w:rPr>
        <w:t>只蛙进行检测，供发现阳性蛙</w:t>
      </w:r>
      <w:r>
        <w:rPr>
          <w:rFonts w:eastAsiaTheme="minorEastAsia"/>
          <w:sz w:val="24"/>
        </w:rPr>
        <w:t>19</w:t>
      </w:r>
      <w:r>
        <w:rPr>
          <w:rFonts w:hAnsiTheme="minorEastAsia" w:eastAsiaTheme="minorEastAsia"/>
          <w:sz w:val="24"/>
        </w:rPr>
        <w:t>只，阳性率</w:t>
      </w:r>
      <w:r>
        <w:rPr>
          <w:rFonts w:hint="eastAsia" w:hAnsiTheme="minorEastAsia" w:eastAsiaTheme="minorEastAsia"/>
          <w:sz w:val="24"/>
        </w:rPr>
        <w:t>4.92</w:t>
      </w:r>
      <w:r>
        <w:rPr>
          <w:rFonts w:eastAsiaTheme="minorEastAsia"/>
          <w:sz w:val="24"/>
        </w:rPr>
        <w:t>%</w:t>
      </w:r>
      <w:r>
        <w:rPr>
          <w:rFonts w:hAnsiTheme="minorEastAsia" w:eastAsiaTheme="minorEastAsia"/>
          <w:sz w:val="24"/>
        </w:rPr>
        <w:t>，分离猎头与虫体</w:t>
      </w:r>
      <w:r>
        <w:rPr>
          <w:rFonts w:eastAsiaTheme="minorEastAsia"/>
          <w:sz w:val="24"/>
        </w:rPr>
        <w:t>27</w:t>
      </w:r>
      <w:r>
        <w:rPr>
          <w:rFonts w:hAnsiTheme="minorEastAsia" w:eastAsiaTheme="minorEastAsia"/>
          <w:sz w:val="24"/>
        </w:rPr>
        <w:t>条。利用基于</w:t>
      </w:r>
      <w:r>
        <w:rPr>
          <w:rFonts w:eastAsiaTheme="minorEastAsia"/>
          <w:i/>
          <w:sz w:val="24"/>
        </w:rPr>
        <w:t>cox</w:t>
      </w:r>
      <w:r>
        <w:rPr>
          <w:rFonts w:eastAsiaTheme="minorEastAsia"/>
          <w:sz w:val="24"/>
        </w:rPr>
        <w:t>1</w:t>
      </w:r>
      <w:r>
        <w:rPr>
          <w:rFonts w:hAnsiTheme="minorEastAsia" w:eastAsiaTheme="minorEastAsia"/>
          <w:sz w:val="24"/>
        </w:rPr>
        <w:t>基因序列的系统发育分析发现，发现的虫体均为曼氏跌宫绦虫裂头蚴。</w:t>
      </w:r>
      <w:r>
        <w:rPr>
          <w:rFonts w:hint="eastAsia" w:hAnsiTheme="minorEastAsia" w:eastAsiaTheme="minorEastAsia"/>
          <w:sz w:val="24"/>
        </w:rPr>
        <w:t>其中，</w:t>
      </w:r>
      <w:r>
        <w:rPr>
          <w:rFonts w:hAnsiTheme="minorEastAsia" w:eastAsiaTheme="minorEastAsia"/>
          <w:sz w:val="24"/>
        </w:rPr>
        <w:t>上海闵行、浙江嘉兴采集的</w:t>
      </w:r>
      <w:r>
        <w:rPr>
          <w:rFonts w:eastAsiaTheme="minorEastAsia"/>
          <w:sz w:val="24"/>
        </w:rPr>
        <w:t>56</w:t>
      </w:r>
      <w:r>
        <w:rPr>
          <w:rFonts w:hAnsiTheme="minorEastAsia" w:eastAsiaTheme="minorEastAsia"/>
          <w:sz w:val="24"/>
        </w:rPr>
        <w:t>只蟾蜍，上海闵行、奉贤采集的</w:t>
      </w:r>
      <w:r>
        <w:rPr>
          <w:rFonts w:eastAsiaTheme="minorEastAsia"/>
          <w:sz w:val="24"/>
        </w:rPr>
        <w:t>12</w:t>
      </w:r>
      <w:r>
        <w:rPr>
          <w:rFonts w:hAnsiTheme="minorEastAsia" w:eastAsiaTheme="minorEastAsia"/>
          <w:sz w:val="24"/>
        </w:rPr>
        <w:t>只牛蛙，上海奉贤采集的</w:t>
      </w:r>
      <w:r>
        <w:rPr>
          <w:rFonts w:eastAsiaTheme="minorEastAsia"/>
          <w:sz w:val="24"/>
        </w:rPr>
        <w:t>30</w:t>
      </w:r>
      <w:r>
        <w:rPr>
          <w:rFonts w:hAnsiTheme="minorEastAsia" w:eastAsiaTheme="minorEastAsia"/>
          <w:sz w:val="24"/>
        </w:rPr>
        <w:t>只水鸡，浙江嘉兴采集的</w:t>
      </w:r>
      <w:r>
        <w:rPr>
          <w:rFonts w:eastAsiaTheme="minorEastAsia"/>
          <w:sz w:val="24"/>
        </w:rPr>
        <w:t>11</w:t>
      </w:r>
      <w:r>
        <w:rPr>
          <w:rFonts w:hAnsiTheme="minorEastAsia" w:eastAsiaTheme="minorEastAsia"/>
          <w:sz w:val="24"/>
        </w:rPr>
        <w:t>只石蛙进行检测，均发现阳性。</w:t>
      </w:r>
    </w:p>
    <w:p w14:paraId="589F7F38">
      <w:pPr>
        <w:adjustRightInd w:val="0"/>
        <w:snapToGrid w:val="0"/>
        <w:spacing w:line="360" w:lineRule="auto"/>
        <w:ind w:firstLine="420"/>
        <w:rPr>
          <w:rFonts w:eastAsiaTheme="minorEastAsia"/>
          <w:sz w:val="24"/>
        </w:rPr>
      </w:pPr>
      <w:r>
        <w:rPr>
          <w:rFonts w:eastAsiaTheme="minorEastAsia"/>
          <w:sz w:val="24"/>
        </w:rPr>
        <w:t>7</w:t>
      </w:r>
      <w:r>
        <w:rPr>
          <w:rFonts w:hAnsiTheme="minorEastAsia" w:eastAsiaTheme="minorEastAsia"/>
          <w:sz w:val="24"/>
        </w:rPr>
        <w:t>、建立了曼氏跌宫绦虫裂头蚴小鼠感染模型。利用分离的裂头蚴</w:t>
      </w:r>
      <w:r>
        <w:rPr>
          <w:rFonts w:eastAsiaTheme="minorEastAsia"/>
          <w:sz w:val="24"/>
        </w:rPr>
        <w:t>3</w:t>
      </w:r>
      <w:r>
        <w:rPr>
          <w:rFonts w:hAnsiTheme="minorEastAsia" w:eastAsiaTheme="minorEastAsia"/>
          <w:sz w:val="24"/>
        </w:rPr>
        <w:t>条感染小鼠，</w:t>
      </w:r>
      <w:r>
        <w:rPr>
          <w:rFonts w:eastAsiaTheme="minorEastAsia"/>
          <w:sz w:val="24"/>
        </w:rPr>
        <w:t>120</w:t>
      </w:r>
      <w:r>
        <w:rPr>
          <w:rFonts w:hint="eastAsia" w:eastAsiaTheme="minorEastAsia"/>
          <w:sz w:val="24"/>
        </w:rPr>
        <w:t xml:space="preserve"> </w:t>
      </w:r>
      <w:r>
        <w:rPr>
          <w:rFonts w:eastAsiaTheme="minorEastAsia"/>
          <w:sz w:val="24"/>
        </w:rPr>
        <w:t>d</w:t>
      </w:r>
      <w:r>
        <w:rPr>
          <w:rFonts w:hAnsiTheme="minorEastAsia" w:eastAsiaTheme="minorEastAsia"/>
          <w:sz w:val="24"/>
        </w:rPr>
        <w:t>后收获虫体</w:t>
      </w:r>
      <w:r>
        <w:rPr>
          <w:rFonts w:eastAsiaTheme="minorEastAsia"/>
          <w:sz w:val="24"/>
        </w:rPr>
        <w:t>2</w:t>
      </w:r>
      <w:r>
        <w:rPr>
          <w:rFonts w:hAnsiTheme="minorEastAsia" w:eastAsiaTheme="minorEastAsia"/>
          <w:sz w:val="24"/>
        </w:rPr>
        <w:t>条，长度由感染时的</w:t>
      </w:r>
      <w:r>
        <w:rPr>
          <w:rFonts w:eastAsiaTheme="minorEastAsia"/>
          <w:sz w:val="24"/>
        </w:rPr>
        <w:t>1.0 cm</w:t>
      </w:r>
      <w:r>
        <w:rPr>
          <w:rFonts w:hAnsiTheme="minorEastAsia" w:eastAsiaTheme="minorEastAsia"/>
          <w:sz w:val="24"/>
        </w:rPr>
        <w:t>成长为</w:t>
      </w:r>
      <w:r>
        <w:rPr>
          <w:rFonts w:eastAsiaTheme="minorEastAsia"/>
          <w:sz w:val="24"/>
        </w:rPr>
        <w:t>10 cm</w:t>
      </w:r>
      <w:r>
        <w:rPr>
          <w:rFonts w:hAnsiTheme="minorEastAsia" w:eastAsiaTheme="minorEastAsia"/>
          <w:sz w:val="24"/>
        </w:rPr>
        <w:t>。</w:t>
      </w:r>
    </w:p>
    <w:p w14:paraId="214AA25B">
      <w:pPr>
        <w:adjustRightInd w:val="0"/>
        <w:snapToGrid w:val="0"/>
        <w:spacing w:line="360" w:lineRule="auto"/>
        <w:ind w:firstLine="480"/>
        <w:rPr>
          <w:rFonts w:eastAsiaTheme="minorEastAsia"/>
          <w:sz w:val="24"/>
        </w:rPr>
      </w:pPr>
      <w:r>
        <w:rPr>
          <w:rFonts w:hAnsiTheme="minorEastAsia" w:eastAsiaTheme="minorEastAsia"/>
          <w:sz w:val="24"/>
        </w:rPr>
        <w:t>分</w:t>
      </w:r>
      <w:r>
        <w:rPr>
          <w:rFonts w:eastAsiaTheme="minorEastAsia"/>
          <w:sz w:val="24"/>
        </w:rPr>
        <w:t>4</w:t>
      </w:r>
      <w:r>
        <w:rPr>
          <w:rFonts w:hAnsiTheme="minorEastAsia" w:eastAsiaTheme="minorEastAsia"/>
          <w:sz w:val="24"/>
        </w:rPr>
        <w:t>批次，分别用</w:t>
      </w:r>
      <w:r>
        <w:rPr>
          <w:rFonts w:eastAsiaTheme="minorEastAsia"/>
          <w:sz w:val="24"/>
        </w:rPr>
        <w:t>1</w:t>
      </w:r>
      <w:r>
        <w:rPr>
          <w:rFonts w:hAnsiTheme="minorEastAsia" w:eastAsiaTheme="minorEastAsia"/>
          <w:sz w:val="24"/>
        </w:rPr>
        <w:t>、</w:t>
      </w:r>
      <w:r>
        <w:rPr>
          <w:rFonts w:eastAsiaTheme="minorEastAsia"/>
          <w:sz w:val="24"/>
        </w:rPr>
        <w:t>2</w:t>
      </w:r>
      <w:r>
        <w:rPr>
          <w:rFonts w:hAnsiTheme="minorEastAsia" w:eastAsiaTheme="minorEastAsia"/>
          <w:sz w:val="24"/>
        </w:rPr>
        <w:t>、</w:t>
      </w:r>
      <w:r>
        <w:rPr>
          <w:rFonts w:eastAsiaTheme="minorEastAsia"/>
          <w:sz w:val="24"/>
        </w:rPr>
        <w:t>3</w:t>
      </w:r>
      <w:r>
        <w:rPr>
          <w:rFonts w:hAnsiTheme="minorEastAsia" w:eastAsiaTheme="minorEastAsia"/>
          <w:sz w:val="24"/>
        </w:rPr>
        <w:t>、</w:t>
      </w:r>
      <w:r>
        <w:rPr>
          <w:rFonts w:eastAsiaTheme="minorEastAsia"/>
          <w:sz w:val="24"/>
        </w:rPr>
        <w:t>4</w:t>
      </w:r>
      <w:r>
        <w:rPr>
          <w:rFonts w:hAnsiTheme="minorEastAsia" w:eastAsiaTheme="minorEastAsia"/>
          <w:sz w:val="24"/>
        </w:rPr>
        <w:t>个裂头蚴头节接种</w:t>
      </w:r>
      <w:r>
        <w:rPr>
          <w:rFonts w:eastAsiaTheme="minorEastAsia"/>
          <w:sz w:val="24"/>
        </w:rPr>
        <w:t>6</w:t>
      </w:r>
      <w:r>
        <w:rPr>
          <w:rFonts w:hAnsiTheme="minorEastAsia" w:eastAsiaTheme="minorEastAsia"/>
          <w:sz w:val="24"/>
        </w:rPr>
        <w:t>只、</w:t>
      </w:r>
      <w:r>
        <w:rPr>
          <w:rFonts w:eastAsiaTheme="minorEastAsia"/>
          <w:sz w:val="24"/>
        </w:rPr>
        <w:t>1</w:t>
      </w:r>
      <w:r>
        <w:rPr>
          <w:rFonts w:hAnsiTheme="minorEastAsia" w:eastAsiaTheme="minorEastAsia"/>
          <w:sz w:val="24"/>
        </w:rPr>
        <w:t>、</w:t>
      </w:r>
      <w:r>
        <w:rPr>
          <w:rFonts w:eastAsiaTheme="minorEastAsia"/>
          <w:sz w:val="24"/>
        </w:rPr>
        <w:t>1</w:t>
      </w:r>
      <w:r>
        <w:rPr>
          <w:rFonts w:hAnsiTheme="minorEastAsia" w:eastAsiaTheme="minorEastAsia"/>
          <w:sz w:val="24"/>
        </w:rPr>
        <w:t>、</w:t>
      </w:r>
      <w:r>
        <w:rPr>
          <w:rFonts w:eastAsiaTheme="minorEastAsia"/>
          <w:sz w:val="24"/>
        </w:rPr>
        <w:t>5</w:t>
      </w:r>
      <w:r>
        <w:rPr>
          <w:rFonts w:hAnsiTheme="minorEastAsia" w:eastAsiaTheme="minorEastAsia"/>
          <w:sz w:val="24"/>
        </w:rPr>
        <w:t>只小鼠，其中感染</w:t>
      </w:r>
      <w:r>
        <w:rPr>
          <w:rFonts w:eastAsiaTheme="minorEastAsia"/>
          <w:sz w:val="24"/>
        </w:rPr>
        <w:t>1</w:t>
      </w:r>
      <w:r>
        <w:rPr>
          <w:rFonts w:hAnsiTheme="minorEastAsia" w:eastAsiaTheme="minorEastAsia"/>
          <w:sz w:val="24"/>
        </w:rPr>
        <w:t>条的部分小鼠死亡，其余在</w:t>
      </w:r>
      <w:r>
        <w:rPr>
          <w:rFonts w:eastAsiaTheme="minorEastAsia"/>
          <w:sz w:val="24"/>
        </w:rPr>
        <w:t>181</w:t>
      </w:r>
      <w:r>
        <w:rPr>
          <w:rFonts w:hint="eastAsia" w:eastAsiaTheme="minorEastAsia"/>
          <w:sz w:val="24"/>
        </w:rPr>
        <w:t xml:space="preserve"> d</w:t>
      </w:r>
      <w:r>
        <w:rPr>
          <w:rFonts w:hAnsiTheme="minorEastAsia" w:eastAsiaTheme="minorEastAsia"/>
          <w:sz w:val="24"/>
        </w:rPr>
        <w:t>收到</w:t>
      </w:r>
      <w:r>
        <w:rPr>
          <w:rFonts w:eastAsiaTheme="minorEastAsia"/>
          <w:sz w:val="24"/>
        </w:rPr>
        <w:t>1</w:t>
      </w:r>
      <w:r>
        <w:rPr>
          <w:rFonts w:hAnsiTheme="minorEastAsia" w:eastAsiaTheme="minorEastAsia"/>
          <w:sz w:val="24"/>
        </w:rPr>
        <w:t>条虫体。感染</w:t>
      </w:r>
      <w:r>
        <w:rPr>
          <w:rFonts w:eastAsiaTheme="minorEastAsia"/>
          <w:sz w:val="24"/>
        </w:rPr>
        <w:t>2</w:t>
      </w:r>
      <w:r>
        <w:rPr>
          <w:rFonts w:hAnsiTheme="minorEastAsia" w:eastAsiaTheme="minorEastAsia"/>
          <w:sz w:val="24"/>
        </w:rPr>
        <w:t>、</w:t>
      </w:r>
      <w:r>
        <w:rPr>
          <w:rFonts w:eastAsiaTheme="minorEastAsia"/>
          <w:sz w:val="24"/>
        </w:rPr>
        <w:t>3</w:t>
      </w:r>
      <w:r>
        <w:rPr>
          <w:rFonts w:hAnsiTheme="minorEastAsia" w:eastAsiaTheme="minorEastAsia"/>
          <w:sz w:val="24"/>
        </w:rPr>
        <w:t>个头节的分别在</w:t>
      </w:r>
      <w:r>
        <w:rPr>
          <w:rFonts w:eastAsiaTheme="minorEastAsia"/>
          <w:sz w:val="24"/>
        </w:rPr>
        <w:t>325</w:t>
      </w:r>
      <w:r>
        <w:rPr>
          <w:rFonts w:hint="eastAsia" w:eastAsiaTheme="minorEastAsia"/>
          <w:sz w:val="24"/>
        </w:rPr>
        <w:t xml:space="preserve"> d</w:t>
      </w:r>
      <w:r>
        <w:rPr>
          <w:rFonts w:hAnsiTheme="minorEastAsia" w:eastAsiaTheme="minorEastAsia"/>
          <w:sz w:val="24"/>
        </w:rPr>
        <w:t>、</w:t>
      </w:r>
      <w:r>
        <w:rPr>
          <w:rFonts w:eastAsiaTheme="minorEastAsia"/>
          <w:sz w:val="24"/>
        </w:rPr>
        <w:t>156 d</w:t>
      </w:r>
      <w:r>
        <w:rPr>
          <w:rFonts w:hAnsiTheme="minorEastAsia" w:eastAsiaTheme="minorEastAsia"/>
          <w:sz w:val="24"/>
        </w:rPr>
        <w:t>后各收获</w:t>
      </w:r>
      <w:r>
        <w:rPr>
          <w:rFonts w:eastAsiaTheme="minorEastAsia"/>
          <w:sz w:val="24"/>
        </w:rPr>
        <w:t>2</w:t>
      </w:r>
      <w:r>
        <w:rPr>
          <w:rFonts w:hAnsiTheme="minorEastAsia" w:eastAsiaTheme="minorEastAsia"/>
          <w:sz w:val="24"/>
        </w:rPr>
        <w:t>条虫体，长度是原先的</w:t>
      </w:r>
      <w:r>
        <w:rPr>
          <w:rFonts w:eastAsiaTheme="minorEastAsia"/>
          <w:sz w:val="24"/>
        </w:rPr>
        <w:t>10</w:t>
      </w:r>
      <w:r>
        <w:rPr>
          <w:rFonts w:hAnsiTheme="minorEastAsia" w:eastAsiaTheme="minorEastAsia"/>
          <w:sz w:val="24"/>
        </w:rPr>
        <w:t>倍</w:t>
      </w:r>
      <w:r>
        <w:rPr>
          <w:rFonts w:hint="eastAsia" w:hAnsiTheme="minorEastAsia" w:eastAsiaTheme="minorEastAsia"/>
          <w:sz w:val="24"/>
        </w:rPr>
        <w:t xml:space="preserve"> </w:t>
      </w:r>
      <w:r>
        <w:rPr>
          <w:rFonts w:hint="eastAsia" w:eastAsiaTheme="minorEastAsia"/>
          <w:sz w:val="24"/>
        </w:rPr>
        <w:t xml:space="preserve">~ </w:t>
      </w:r>
      <w:r>
        <w:rPr>
          <w:rFonts w:eastAsiaTheme="minorEastAsia"/>
          <w:sz w:val="24"/>
        </w:rPr>
        <w:t>20</w:t>
      </w:r>
      <w:r>
        <w:rPr>
          <w:rFonts w:hAnsiTheme="minorEastAsia" w:eastAsiaTheme="minorEastAsia"/>
          <w:sz w:val="24"/>
        </w:rPr>
        <w:t>倍。但感染</w:t>
      </w:r>
      <w:r>
        <w:rPr>
          <w:rFonts w:eastAsiaTheme="minorEastAsia"/>
          <w:sz w:val="24"/>
        </w:rPr>
        <w:t>4</w:t>
      </w:r>
      <w:r>
        <w:rPr>
          <w:rFonts w:hAnsiTheme="minorEastAsia" w:eastAsiaTheme="minorEastAsia"/>
          <w:sz w:val="24"/>
        </w:rPr>
        <w:t>条的小鼠全部死亡。小鼠在感染后</w:t>
      </w:r>
      <w:r>
        <w:rPr>
          <w:rFonts w:eastAsiaTheme="minorEastAsia"/>
          <w:sz w:val="24"/>
        </w:rPr>
        <w:t>2</w:t>
      </w:r>
      <w:r>
        <w:rPr>
          <w:rFonts w:hint="eastAsia" w:eastAsiaTheme="minorEastAsia"/>
          <w:sz w:val="24"/>
        </w:rPr>
        <w:t xml:space="preserve"> w</w:t>
      </w:r>
      <w:r>
        <w:rPr>
          <w:rFonts w:hAnsiTheme="minorEastAsia" w:eastAsiaTheme="minorEastAsia"/>
          <w:sz w:val="24"/>
        </w:rPr>
        <w:t>时，嗜酸性细胞含量达到最高峰，此后逐渐下降。</w:t>
      </w:r>
    </w:p>
    <w:p w14:paraId="4320E5BE">
      <w:pPr>
        <w:adjustRightInd w:val="0"/>
        <w:snapToGrid w:val="0"/>
        <w:spacing w:line="360" w:lineRule="auto"/>
        <w:ind w:firstLine="480" w:firstLineChars="200"/>
        <w:rPr>
          <w:rFonts w:eastAsiaTheme="minorEastAsia"/>
          <w:b/>
          <w:bCs/>
          <w:color w:val="000000" w:themeColor="text1"/>
          <w:sz w:val="24"/>
          <w14:textFill>
            <w14:solidFill>
              <w14:schemeClr w14:val="tx1"/>
            </w14:solidFill>
          </w14:textFill>
        </w:rPr>
      </w:pPr>
      <w:r>
        <w:rPr>
          <w:rFonts w:hAnsiTheme="minorEastAsia" w:eastAsiaTheme="minorEastAsia"/>
          <w:sz w:val="24"/>
        </w:rPr>
        <w:t>比较分析发现，建立的</w:t>
      </w:r>
      <w:r>
        <w:rPr>
          <w:rFonts w:eastAsiaTheme="minorEastAsia"/>
          <w:sz w:val="24"/>
        </w:rPr>
        <w:t>PCR</w:t>
      </w:r>
      <w:r>
        <w:rPr>
          <w:rFonts w:hAnsiTheme="minorEastAsia" w:eastAsiaTheme="minorEastAsia"/>
          <w:sz w:val="24"/>
        </w:rPr>
        <w:t>技术和间接</w:t>
      </w:r>
      <w:r>
        <w:rPr>
          <w:rFonts w:eastAsiaTheme="minorEastAsia"/>
          <w:sz w:val="24"/>
        </w:rPr>
        <w:t>ELISA</w:t>
      </w:r>
      <w:r>
        <w:rPr>
          <w:rFonts w:hAnsiTheme="minorEastAsia" w:eastAsiaTheme="minorEastAsia"/>
          <w:sz w:val="24"/>
        </w:rPr>
        <w:t>技术的敏感性和特异性良好。将</w:t>
      </w:r>
      <w:r>
        <w:rPr>
          <w:rFonts w:eastAsiaTheme="minorEastAsia"/>
          <w:sz w:val="24"/>
        </w:rPr>
        <w:t>PCR</w:t>
      </w:r>
      <w:r>
        <w:rPr>
          <w:rFonts w:hAnsiTheme="minorEastAsia" w:eastAsiaTheme="minorEastAsia"/>
          <w:sz w:val="24"/>
        </w:rPr>
        <w:t>技术应用于上海、重庆、山东、广东、浙江猪肉及血清、牦牛肉、蛙等的检测，其中上海猪肉的总阳性率为</w:t>
      </w:r>
      <w:r>
        <w:rPr>
          <w:rFonts w:eastAsiaTheme="minorEastAsia"/>
          <w:sz w:val="24"/>
        </w:rPr>
        <w:t>0.53%</w:t>
      </w:r>
      <w:r>
        <w:rPr>
          <w:rFonts w:hAnsiTheme="minorEastAsia" w:eastAsiaTheme="minorEastAsia"/>
          <w:sz w:val="24"/>
        </w:rPr>
        <w:t>（</w:t>
      </w:r>
      <w:r>
        <w:rPr>
          <w:rFonts w:eastAsiaTheme="minorEastAsia"/>
          <w:sz w:val="24"/>
        </w:rPr>
        <w:t>6/1129</w:t>
      </w:r>
      <w:r>
        <w:rPr>
          <w:rFonts w:hAnsiTheme="minorEastAsia" w:eastAsiaTheme="minorEastAsia"/>
          <w:sz w:val="24"/>
        </w:rPr>
        <w:t>），重庆猪肉的总阳性率为</w:t>
      </w:r>
      <w:r>
        <w:rPr>
          <w:rFonts w:eastAsiaTheme="minorEastAsia"/>
          <w:sz w:val="24"/>
        </w:rPr>
        <w:t>0.37%</w:t>
      </w:r>
      <w:r>
        <w:rPr>
          <w:rFonts w:hAnsiTheme="minorEastAsia" w:eastAsiaTheme="minorEastAsia"/>
          <w:sz w:val="24"/>
        </w:rPr>
        <w:t>（</w:t>
      </w:r>
      <w:r>
        <w:rPr>
          <w:rFonts w:eastAsiaTheme="minorEastAsia"/>
          <w:sz w:val="24"/>
        </w:rPr>
        <w:t>4/1073</w:t>
      </w:r>
      <w:r>
        <w:rPr>
          <w:rFonts w:hAnsiTheme="minorEastAsia" w:eastAsiaTheme="minorEastAsia"/>
          <w:sz w:val="24"/>
        </w:rPr>
        <w:t>），广东的总阳性率为</w:t>
      </w:r>
      <w:r>
        <w:rPr>
          <w:rFonts w:eastAsiaTheme="minorEastAsia"/>
          <w:sz w:val="24"/>
        </w:rPr>
        <w:t>0.91</w:t>
      </w:r>
      <w:r>
        <w:rPr>
          <w:rFonts w:hint="eastAsia" w:eastAsiaTheme="minorEastAsia"/>
          <w:sz w:val="24"/>
        </w:rPr>
        <w:t>%</w:t>
      </w:r>
      <w:r>
        <w:rPr>
          <w:rFonts w:hAnsiTheme="minorEastAsia" w:eastAsiaTheme="minorEastAsia"/>
          <w:sz w:val="24"/>
        </w:rPr>
        <w:t>（</w:t>
      </w:r>
      <w:r>
        <w:rPr>
          <w:rFonts w:eastAsiaTheme="minorEastAsia"/>
          <w:sz w:val="24"/>
        </w:rPr>
        <w:t>6/658</w:t>
      </w:r>
      <w:r>
        <w:rPr>
          <w:rFonts w:hAnsiTheme="minorEastAsia" w:eastAsiaTheme="minorEastAsia"/>
          <w:sz w:val="24"/>
        </w:rPr>
        <w:t>）；长三角地区蛙的总阳性率为</w:t>
      </w:r>
      <w:r>
        <w:rPr>
          <w:rFonts w:eastAsiaTheme="minorEastAsia"/>
          <w:sz w:val="24"/>
        </w:rPr>
        <w:t>4.08</w:t>
      </w:r>
      <w:r>
        <w:rPr>
          <w:rFonts w:hint="eastAsia" w:eastAsiaTheme="minorEastAsia"/>
          <w:sz w:val="24"/>
        </w:rPr>
        <w:t>%</w:t>
      </w:r>
      <w:r>
        <w:rPr>
          <w:rFonts w:hAnsiTheme="minorEastAsia" w:eastAsiaTheme="minorEastAsia"/>
          <w:sz w:val="24"/>
        </w:rPr>
        <w:t>（</w:t>
      </w:r>
      <w:r>
        <w:rPr>
          <w:rFonts w:eastAsiaTheme="minorEastAsia"/>
          <w:sz w:val="24"/>
        </w:rPr>
        <w:t>19/466</w:t>
      </w:r>
      <w:r>
        <w:rPr>
          <w:rFonts w:hAnsiTheme="minorEastAsia" w:eastAsiaTheme="minorEastAsia"/>
          <w:sz w:val="24"/>
        </w:rPr>
        <w:t>），效果良好。</w:t>
      </w:r>
    </w:p>
    <w:p w14:paraId="239D2E7B">
      <w:pPr>
        <w:adjustRightInd w:val="0"/>
        <w:snapToGrid w:val="0"/>
        <w:spacing w:before="31" w:beforeLines="10" w:after="31" w:afterLines="10" w:line="360" w:lineRule="auto"/>
        <w:ind w:firstLine="472" w:firstLineChars="196"/>
        <w:rPr>
          <w:rFonts w:asciiTheme="minorEastAsia" w:hAnsiTheme="minorEastAsia" w:eastAsiaTheme="minorEastAsia"/>
          <w:b/>
          <w:bCs/>
          <w:color w:val="000000" w:themeColor="text1"/>
          <w:sz w:val="24"/>
          <w14:textFill>
            <w14:solidFill>
              <w14:schemeClr w14:val="tx1"/>
            </w14:solidFill>
          </w14:textFill>
        </w:rPr>
      </w:pPr>
      <w:r>
        <w:rPr>
          <w:rFonts w:asciiTheme="minorEastAsia" w:hAnsiTheme="minorEastAsia" w:eastAsiaTheme="minorEastAsia"/>
          <w:b/>
          <w:bCs/>
          <w:color w:val="000000" w:themeColor="text1"/>
          <w:sz w:val="24"/>
          <w14:textFill>
            <w14:solidFill>
              <w14:schemeClr w14:val="tx1"/>
            </w14:solidFill>
          </w14:textFill>
        </w:rPr>
        <w:t>（二）综述报告</w:t>
      </w:r>
    </w:p>
    <w:p w14:paraId="005B7964">
      <w:pPr>
        <w:pStyle w:val="16"/>
        <w:adjustRightInd w:val="0"/>
        <w:snapToGrid w:val="0"/>
        <w:spacing w:line="360" w:lineRule="auto"/>
        <w:ind w:firstLine="482" w:firstLineChars="200"/>
        <w:rPr>
          <w:rFonts w:ascii="Times New Roman" w:hAnsi="Times New Roman" w:eastAsiaTheme="minorEastAsia"/>
          <w:b/>
          <w:sz w:val="24"/>
          <w:szCs w:val="24"/>
        </w:rPr>
      </w:pPr>
      <w:r>
        <w:rPr>
          <w:rFonts w:ascii="Times New Roman" w:hAnsi="Times New Roman" w:eastAsiaTheme="minorEastAsia"/>
          <w:b/>
          <w:sz w:val="24"/>
          <w:szCs w:val="24"/>
        </w:rPr>
        <w:t>1</w:t>
      </w:r>
      <w:r>
        <w:rPr>
          <w:rFonts w:ascii="Times New Roman" w:hAnsiTheme="minorEastAsia" w:eastAsiaTheme="minorEastAsia"/>
          <w:b/>
          <w:sz w:val="24"/>
          <w:szCs w:val="24"/>
        </w:rPr>
        <w:t>、裂头蚴严重影响动物性食品安全，给人类健康造成重大威胁</w:t>
      </w:r>
    </w:p>
    <w:p w14:paraId="0DB4A3BB">
      <w:pPr>
        <w:pStyle w:val="16"/>
        <w:adjustRightInd w:val="0"/>
        <w:snapToGrid w:val="0"/>
        <w:spacing w:line="360" w:lineRule="auto"/>
        <w:ind w:firstLine="480" w:firstLineChars="200"/>
        <w:rPr>
          <w:rFonts w:ascii="Times New Roman" w:hAnsi="Times New Roman" w:eastAsiaTheme="minorEastAsia"/>
          <w:sz w:val="24"/>
          <w:szCs w:val="24"/>
        </w:rPr>
      </w:pPr>
      <w:r>
        <w:rPr>
          <w:rFonts w:ascii="Times New Roman" w:hAnsiTheme="minorEastAsia" w:eastAsiaTheme="minorEastAsia"/>
          <w:sz w:val="24"/>
          <w:szCs w:val="24"/>
        </w:rPr>
        <w:t>裂头蚴的危害随其寄生部位的不同而不同，眼裂头蚴病最常见，可引起眼脸红肿、结膜充血、微痛、奇痒有虫爬感、畏光、流泪，有时伴发热、恶心和呕吐，眼球运动障碍，严重者视角膜溃疡、并发白内障而失明；皮下裂头蚴病导致皮下结节、瘙痒、炎症、触痛或持续疼痛；口腔颌面裂头蚴病寄生处红肿、发痒、有硬结；脑脊髓裂头蚴病主要症状有癫痫样发作（占</w:t>
      </w:r>
      <w:r>
        <w:rPr>
          <w:rFonts w:ascii="Times New Roman" w:hAnsi="Times New Roman" w:eastAsiaTheme="minorEastAsia"/>
          <w:sz w:val="24"/>
          <w:szCs w:val="24"/>
        </w:rPr>
        <w:t>70%</w:t>
      </w:r>
      <w:r>
        <w:rPr>
          <w:rFonts w:ascii="Times New Roman" w:hAnsiTheme="minorEastAsia" w:eastAsiaTheme="minorEastAsia"/>
          <w:sz w:val="24"/>
          <w:szCs w:val="24"/>
        </w:rPr>
        <w:t>），肢体发作性不自主抽搐、进行性头痛（占</w:t>
      </w:r>
      <w:r>
        <w:rPr>
          <w:rFonts w:ascii="Times New Roman" w:hAnsi="Times New Roman" w:eastAsiaTheme="minorEastAsia"/>
          <w:sz w:val="24"/>
          <w:szCs w:val="24"/>
        </w:rPr>
        <w:t>20%</w:t>
      </w:r>
      <w:r>
        <w:rPr>
          <w:rFonts w:ascii="Times New Roman" w:hAnsiTheme="minorEastAsia" w:eastAsiaTheme="minorEastAsia"/>
          <w:sz w:val="24"/>
          <w:szCs w:val="24"/>
        </w:rPr>
        <w:t>）、肢体麻木，进行性肌无力或偏瘫（占</w:t>
      </w:r>
      <w:r>
        <w:rPr>
          <w:rFonts w:ascii="Times New Roman" w:hAnsi="Times New Roman" w:eastAsiaTheme="minorEastAsia"/>
          <w:sz w:val="24"/>
          <w:szCs w:val="24"/>
        </w:rPr>
        <w:t>50%</w:t>
      </w:r>
      <w:r>
        <w:rPr>
          <w:rFonts w:ascii="Times New Roman" w:hAnsiTheme="minorEastAsia" w:eastAsiaTheme="minorEastAsia"/>
          <w:sz w:val="24"/>
          <w:szCs w:val="24"/>
        </w:rPr>
        <w:t>）等，后果严重；内脏裂头蚴病可引起呼吸道咳血、消化道炎症、尿道或膀胱炎症。</w:t>
      </w:r>
    </w:p>
    <w:p w14:paraId="775DD26D">
      <w:pPr>
        <w:adjustRightInd w:val="0"/>
        <w:snapToGrid w:val="0"/>
        <w:spacing w:line="360" w:lineRule="auto"/>
        <w:ind w:firstLine="555"/>
        <w:rPr>
          <w:rFonts w:eastAsiaTheme="minorEastAsia"/>
          <w:sz w:val="24"/>
        </w:rPr>
      </w:pPr>
      <w:r>
        <w:rPr>
          <w:rFonts w:hAnsiTheme="minorEastAsia" w:eastAsiaTheme="minorEastAsia"/>
          <w:sz w:val="24"/>
        </w:rPr>
        <w:t>裂头蚴病呈世界性分布，亚洲常有人患病的报道，如日本、韩国、朝鲜、印尼、菲律宾、马来西亚、越南等；欧洲、北美、南美、非洲也有病例报道，包括俄罗斯等，目前全球病例超过</w:t>
      </w:r>
      <w:r>
        <w:rPr>
          <w:rFonts w:eastAsiaTheme="minorEastAsia"/>
          <w:sz w:val="24"/>
        </w:rPr>
        <w:t>1 600</w:t>
      </w:r>
      <w:r>
        <w:rPr>
          <w:rFonts w:hAnsiTheme="minorEastAsia" w:eastAsiaTheme="minorEastAsia"/>
          <w:sz w:val="24"/>
        </w:rPr>
        <w:t>例。我国有</w:t>
      </w:r>
      <w:r>
        <w:rPr>
          <w:rFonts w:eastAsiaTheme="minorEastAsia"/>
          <w:sz w:val="24"/>
        </w:rPr>
        <w:t>1 300</w:t>
      </w:r>
      <w:r>
        <w:rPr>
          <w:rFonts w:hAnsiTheme="minorEastAsia" w:eastAsiaTheme="minorEastAsia"/>
          <w:sz w:val="24"/>
        </w:rPr>
        <w:t>多例，分布于全国</w:t>
      </w:r>
      <w:r>
        <w:rPr>
          <w:rFonts w:eastAsiaTheme="minorEastAsia"/>
          <w:sz w:val="24"/>
        </w:rPr>
        <w:t>31</w:t>
      </w:r>
      <w:r>
        <w:rPr>
          <w:rFonts w:hAnsiTheme="minorEastAsia" w:eastAsiaTheme="minorEastAsia"/>
          <w:sz w:val="24"/>
        </w:rPr>
        <w:t>个省（区、市），尤以南方省区多见；</w:t>
      </w:r>
      <w:r>
        <w:rPr>
          <w:rFonts w:eastAsiaTheme="minorEastAsia"/>
          <w:sz w:val="24"/>
        </w:rPr>
        <w:t>0~85</w:t>
      </w:r>
      <w:r>
        <w:rPr>
          <w:rFonts w:hAnsiTheme="minorEastAsia" w:eastAsiaTheme="minorEastAsia"/>
          <w:sz w:val="24"/>
        </w:rPr>
        <w:t>岁均可感染，其中</w:t>
      </w:r>
      <w:r>
        <w:rPr>
          <w:rFonts w:eastAsiaTheme="minorEastAsia"/>
          <w:sz w:val="24"/>
        </w:rPr>
        <w:t>10~30</w:t>
      </w:r>
      <w:r>
        <w:rPr>
          <w:rFonts w:hAnsiTheme="minorEastAsia" w:eastAsiaTheme="minorEastAsia"/>
          <w:sz w:val="24"/>
        </w:rPr>
        <w:t>岁年龄组的感染率最高。近年来，曼氏裂头蚴病的发病率呈上升趋势，尤其脑脊髓裂头蚴病的比例明显增高，成为我国重要的人兽共患食源性寄生虫病之一。此外，增值型裂头蚴病（</w:t>
      </w:r>
      <w:r>
        <w:rPr>
          <w:rFonts w:eastAsiaTheme="minorEastAsia"/>
          <w:sz w:val="24"/>
        </w:rPr>
        <w:t>proliferative sparganosis</w:t>
      </w:r>
      <w:r>
        <w:rPr>
          <w:rFonts w:hAnsiTheme="minorEastAsia" w:eastAsiaTheme="minorEastAsia"/>
          <w:sz w:val="24"/>
        </w:rPr>
        <w:t>）病例也与</w:t>
      </w:r>
      <w:r>
        <w:rPr>
          <w:rFonts w:hint="eastAsia" w:hAnsiTheme="minorEastAsia" w:eastAsiaTheme="minorEastAsia"/>
          <w:sz w:val="24"/>
        </w:rPr>
        <w:t>普通</w:t>
      </w:r>
      <w:r>
        <w:rPr>
          <w:rFonts w:hAnsiTheme="minorEastAsia" w:eastAsiaTheme="minorEastAsia"/>
          <w:sz w:val="24"/>
        </w:rPr>
        <w:t>裂头蚴病一样在东亚、拉美国家散发，目前，世界上至少报道了</w:t>
      </w:r>
      <w:r>
        <w:rPr>
          <w:rFonts w:eastAsiaTheme="minorEastAsia"/>
          <w:sz w:val="24"/>
        </w:rPr>
        <w:t>16</w:t>
      </w:r>
      <w:r>
        <w:rPr>
          <w:rFonts w:hAnsiTheme="minorEastAsia" w:eastAsiaTheme="minorEastAsia"/>
          <w:sz w:val="24"/>
        </w:rPr>
        <w:t>例增值型裂头蚴病病例，其中日本</w:t>
      </w:r>
      <w:r>
        <w:rPr>
          <w:rFonts w:eastAsiaTheme="minorEastAsia"/>
          <w:sz w:val="24"/>
        </w:rPr>
        <w:t>6</w:t>
      </w:r>
      <w:r>
        <w:rPr>
          <w:rFonts w:hAnsiTheme="minorEastAsia" w:eastAsiaTheme="minorEastAsia"/>
          <w:sz w:val="24"/>
        </w:rPr>
        <w:t>例，中国</w:t>
      </w:r>
      <w:r>
        <w:rPr>
          <w:rFonts w:eastAsiaTheme="minorEastAsia"/>
          <w:sz w:val="24"/>
        </w:rPr>
        <w:t>4</w:t>
      </w:r>
      <w:r>
        <w:rPr>
          <w:rFonts w:hAnsiTheme="minorEastAsia" w:eastAsiaTheme="minorEastAsia"/>
          <w:sz w:val="24"/>
        </w:rPr>
        <w:t>例，泰国</w:t>
      </w:r>
      <w:r>
        <w:rPr>
          <w:rFonts w:eastAsiaTheme="minorEastAsia"/>
          <w:sz w:val="24"/>
        </w:rPr>
        <w:t>2</w:t>
      </w:r>
      <w:r>
        <w:rPr>
          <w:rFonts w:hAnsiTheme="minorEastAsia" w:eastAsiaTheme="minorEastAsia"/>
          <w:sz w:val="24"/>
        </w:rPr>
        <w:t>例，美国、巴拉圭、委内瑞拉和菲律宾各</w:t>
      </w:r>
      <w:r>
        <w:rPr>
          <w:rFonts w:eastAsiaTheme="minorEastAsia"/>
          <w:sz w:val="24"/>
        </w:rPr>
        <w:t>1</w:t>
      </w:r>
      <w:r>
        <w:rPr>
          <w:rFonts w:hAnsiTheme="minorEastAsia" w:eastAsiaTheme="minorEastAsia"/>
          <w:sz w:val="24"/>
        </w:rPr>
        <w:t>例。而其成虫在人体也有寄生的报道，主要分布在日本、韩国、俄罗斯等少数国家，我国报道的至少有</w:t>
      </w:r>
      <w:r>
        <w:rPr>
          <w:rFonts w:eastAsiaTheme="minorEastAsia"/>
          <w:sz w:val="24"/>
        </w:rPr>
        <w:t>20</w:t>
      </w:r>
      <w:r>
        <w:rPr>
          <w:rFonts w:hAnsiTheme="minorEastAsia" w:eastAsiaTheme="minorEastAsia"/>
          <w:sz w:val="24"/>
        </w:rPr>
        <w:t>多例，分布在广东、台湾、四川和福建等省市，感染者从</w:t>
      </w:r>
      <w:r>
        <w:rPr>
          <w:rFonts w:eastAsiaTheme="minorEastAsia"/>
          <w:sz w:val="24"/>
        </w:rPr>
        <w:t>3</w:t>
      </w:r>
      <w:r>
        <w:rPr>
          <w:rFonts w:hAnsiTheme="minorEastAsia" w:eastAsiaTheme="minorEastAsia"/>
          <w:sz w:val="24"/>
        </w:rPr>
        <w:t>岁至</w:t>
      </w:r>
      <w:r>
        <w:rPr>
          <w:rFonts w:eastAsiaTheme="minorEastAsia"/>
          <w:sz w:val="24"/>
        </w:rPr>
        <w:t>58</w:t>
      </w:r>
      <w:r>
        <w:rPr>
          <w:rFonts w:hAnsiTheme="minorEastAsia" w:eastAsiaTheme="minorEastAsia"/>
          <w:sz w:val="24"/>
        </w:rPr>
        <w:t>岁均有。在上海，诸葛传德（</w:t>
      </w:r>
      <w:r>
        <w:rPr>
          <w:rFonts w:eastAsiaTheme="minorEastAsia"/>
          <w:sz w:val="24"/>
        </w:rPr>
        <w:t>1990</w:t>
      </w:r>
      <w:r>
        <w:rPr>
          <w:rFonts w:hAnsiTheme="minorEastAsia" w:eastAsiaTheme="minorEastAsia"/>
          <w:sz w:val="24"/>
        </w:rPr>
        <w:t>）、杨亢清等（</w:t>
      </w:r>
      <w:r>
        <w:rPr>
          <w:rFonts w:eastAsiaTheme="minorEastAsia"/>
          <w:sz w:val="24"/>
        </w:rPr>
        <w:t>1992</w:t>
      </w:r>
      <w:r>
        <w:rPr>
          <w:rFonts w:hAnsiTheme="minorEastAsia" w:eastAsiaTheme="minorEastAsia"/>
          <w:sz w:val="24"/>
        </w:rPr>
        <w:t>）、</w:t>
      </w:r>
      <w:r>
        <w:rPr>
          <w:rFonts w:hAnsiTheme="minorEastAsia" w:eastAsiaTheme="minorEastAsia"/>
          <w:kern w:val="0"/>
          <w:sz w:val="24"/>
        </w:rPr>
        <w:t>潘力等（</w:t>
      </w:r>
      <w:r>
        <w:rPr>
          <w:rFonts w:eastAsiaTheme="minorEastAsia"/>
          <w:kern w:val="0"/>
          <w:sz w:val="24"/>
        </w:rPr>
        <w:t>1994</w:t>
      </w:r>
      <w:r>
        <w:rPr>
          <w:rFonts w:hAnsiTheme="minorEastAsia" w:eastAsiaTheme="minorEastAsia"/>
          <w:kern w:val="0"/>
          <w:sz w:val="24"/>
        </w:rPr>
        <w:t>）、朱道韫等（</w:t>
      </w:r>
      <w:r>
        <w:rPr>
          <w:rFonts w:eastAsiaTheme="minorEastAsia"/>
          <w:kern w:val="0"/>
          <w:sz w:val="24"/>
        </w:rPr>
        <w:t>1998</w:t>
      </w:r>
      <w:r>
        <w:rPr>
          <w:rFonts w:hAnsiTheme="minorEastAsia" w:eastAsiaTheme="minorEastAsia"/>
          <w:kern w:val="0"/>
          <w:sz w:val="24"/>
        </w:rPr>
        <w:t>）分别报道了</w:t>
      </w:r>
      <w:r>
        <w:rPr>
          <w:rFonts w:eastAsiaTheme="minorEastAsia"/>
          <w:kern w:val="0"/>
          <w:sz w:val="24"/>
        </w:rPr>
        <w:t>1</w:t>
      </w:r>
      <w:r>
        <w:rPr>
          <w:rFonts w:hAnsiTheme="minorEastAsia" w:eastAsiaTheme="minorEastAsia"/>
          <w:kern w:val="0"/>
          <w:sz w:val="24"/>
        </w:rPr>
        <w:t>、</w:t>
      </w:r>
      <w:r>
        <w:rPr>
          <w:rFonts w:eastAsiaTheme="minorEastAsia"/>
          <w:kern w:val="0"/>
          <w:sz w:val="24"/>
        </w:rPr>
        <w:t>1</w:t>
      </w:r>
      <w:r>
        <w:rPr>
          <w:rFonts w:hAnsiTheme="minorEastAsia" w:eastAsiaTheme="minorEastAsia"/>
          <w:kern w:val="0"/>
          <w:sz w:val="24"/>
        </w:rPr>
        <w:t>、</w:t>
      </w:r>
      <w:r>
        <w:rPr>
          <w:rFonts w:eastAsiaTheme="minorEastAsia"/>
          <w:kern w:val="0"/>
          <w:sz w:val="24"/>
        </w:rPr>
        <w:t>1</w:t>
      </w:r>
      <w:r>
        <w:rPr>
          <w:rFonts w:hAnsiTheme="minorEastAsia" w:eastAsiaTheme="minorEastAsia"/>
          <w:kern w:val="0"/>
          <w:sz w:val="24"/>
        </w:rPr>
        <w:t>和</w:t>
      </w:r>
      <w:r>
        <w:rPr>
          <w:rFonts w:eastAsiaTheme="minorEastAsia"/>
          <w:kern w:val="0"/>
          <w:sz w:val="24"/>
        </w:rPr>
        <w:t>2</w:t>
      </w:r>
      <w:r>
        <w:rPr>
          <w:rFonts w:hAnsiTheme="minorEastAsia" w:eastAsiaTheme="minorEastAsia"/>
          <w:kern w:val="0"/>
          <w:sz w:val="24"/>
        </w:rPr>
        <w:t>例曼氏裂头蚴病例。</w:t>
      </w:r>
    </w:p>
    <w:p w14:paraId="70C0D1AE">
      <w:pPr>
        <w:tabs>
          <w:tab w:val="left" w:pos="1680"/>
        </w:tabs>
        <w:adjustRightInd w:val="0"/>
        <w:snapToGrid w:val="0"/>
        <w:spacing w:line="360" w:lineRule="auto"/>
        <w:ind w:firstLine="480" w:firstLineChars="200"/>
        <w:rPr>
          <w:rFonts w:eastAsiaTheme="minorEastAsia"/>
          <w:bCs/>
          <w:sz w:val="24"/>
        </w:rPr>
      </w:pPr>
      <w:r>
        <w:rPr>
          <w:rFonts w:hAnsiTheme="minorEastAsia" w:eastAsiaTheme="minorEastAsia"/>
          <w:sz w:val="24"/>
        </w:rPr>
        <w:t>人的感染途径主要有两种，其一是寄生于第二中间宿主蛙中</w:t>
      </w:r>
      <w:r>
        <w:rPr>
          <w:rFonts w:hint="eastAsia" w:hAnsiTheme="minorEastAsia" w:eastAsiaTheme="minorEastAsia"/>
          <w:sz w:val="24"/>
        </w:rPr>
        <w:t>寄生</w:t>
      </w:r>
      <w:r>
        <w:rPr>
          <w:rFonts w:hAnsiTheme="minorEastAsia" w:eastAsiaTheme="minorEastAsia"/>
          <w:sz w:val="24"/>
        </w:rPr>
        <w:t>的裂头蚴</w:t>
      </w:r>
      <w:r>
        <w:rPr>
          <w:rFonts w:hint="eastAsia" w:hAnsiTheme="minorEastAsia" w:eastAsiaTheme="minorEastAsia"/>
          <w:sz w:val="24"/>
        </w:rPr>
        <w:t>，</w:t>
      </w:r>
      <w:r>
        <w:rPr>
          <w:rFonts w:hAnsiTheme="minorEastAsia" w:eastAsiaTheme="minorEastAsia"/>
          <w:sz w:val="24"/>
        </w:rPr>
        <w:t>或寄生于第一中间宿主剑水蚤中的虫体原尾蚴经皮肤或黏膜侵入，这主要是由于我国部分地区流行蛙有清凉解毒作用的传说，常有人将生的青蛙肉敷贴在伤口，包括眼睛、口等处，蛙肉中寄生的裂头蚴即可经伤口或皮肤、黏膜侵入；其二是生食或半生食蛙、蛇、猪、马、鸡肉等，将其中寄生的裂头蚴食入，或通过饮用生水、游泳时误喝了河水，导致携带病原的第一中间宿主剑水蚤进入体内而感染。</w:t>
      </w:r>
    </w:p>
    <w:p w14:paraId="73975BAD">
      <w:pPr>
        <w:pStyle w:val="16"/>
        <w:adjustRightInd w:val="0"/>
        <w:snapToGrid w:val="0"/>
        <w:spacing w:line="360" w:lineRule="auto"/>
        <w:ind w:firstLine="482" w:firstLineChars="200"/>
        <w:rPr>
          <w:rFonts w:ascii="Times New Roman" w:hAnsi="Times New Roman" w:eastAsiaTheme="minorEastAsia"/>
          <w:b/>
          <w:kern w:val="0"/>
          <w:sz w:val="24"/>
          <w:szCs w:val="24"/>
        </w:rPr>
      </w:pPr>
      <w:r>
        <w:rPr>
          <w:rFonts w:ascii="Times New Roman" w:hAnsi="Times New Roman" w:eastAsiaTheme="minorEastAsia"/>
          <w:b/>
          <w:kern w:val="0"/>
          <w:sz w:val="24"/>
          <w:szCs w:val="24"/>
        </w:rPr>
        <w:t>2</w:t>
      </w:r>
      <w:r>
        <w:rPr>
          <w:rFonts w:ascii="Times New Roman" w:hAnsiTheme="minorEastAsia" w:eastAsiaTheme="minorEastAsia"/>
          <w:b/>
          <w:kern w:val="0"/>
          <w:sz w:val="24"/>
          <w:szCs w:val="24"/>
        </w:rPr>
        <w:t>、缺乏针对动物性食品的标准化的检测技术</w:t>
      </w:r>
    </w:p>
    <w:p w14:paraId="5F332C17">
      <w:pPr>
        <w:adjustRightInd w:val="0"/>
        <w:snapToGrid w:val="0"/>
        <w:spacing w:line="360" w:lineRule="auto"/>
        <w:ind w:firstLine="480" w:firstLineChars="200"/>
        <w:rPr>
          <w:rFonts w:eastAsiaTheme="minorEastAsia"/>
          <w:sz w:val="24"/>
        </w:rPr>
      </w:pPr>
      <w:r>
        <w:rPr>
          <w:rFonts w:hAnsiTheme="minorEastAsia" w:eastAsiaTheme="minorEastAsia"/>
          <w:sz w:val="24"/>
        </w:rPr>
        <w:t>目前，裂头蚴的检测主要依赖于肉眼观察和</w:t>
      </w:r>
      <w:r>
        <w:rPr>
          <w:rFonts w:hint="eastAsia" w:hAnsiTheme="minorEastAsia" w:eastAsiaTheme="minorEastAsia"/>
          <w:sz w:val="24"/>
        </w:rPr>
        <w:t>显微镜</w:t>
      </w:r>
      <w:r>
        <w:rPr>
          <w:rFonts w:hAnsiTheme="minorEastAsia" w:eastAsiaTheme="minorEastAsia"/>
          <w:sz w:val="24"/>
        </w:rPr>
        <w:t>检查，</w:t>
      </w:r>
      <w:r>
        <w:rPr>
          <w:rFonts w:hint="eastAsia" w:hAnsiTheme="minorEastAsia" w:eastAsiaTheme="minorEastAsia"/>
          <w:sz w:val="24"/>
        </w:rPr>
        <w:t>实验室常采用PCR等分子方法。此外，</w:t>
      </w:r>
      <w:r>
        <w:rPr>
          <w:rFonts w:hAnsiTheme="minorEastAsia" w:eastAsiaTheme="minorEastAsia"/>
          <w:sz w:val="24"/>
        </w:rPr>
        <w:t>也已经发展了一些用于人感染后抗体检测的免疫学方法，包括以分泌排泄蛋白为检测抗原的</w:t>
      </w:r>
      <w:r>
        <w:rPr>
          <w:rFonts w:eastAsiaTheme="minorEastAsia"/>
          <w:sz w:val="24"/>
        </w:rPr>
        <w:t>ELISA</w:t>
      </w:r>
      <w:r>
        <w:rPr>
          <w:rFonts w:hAnsiTheme="minorEastAsia" w:eastAsiaTheme="minorEastAsia"/>
          <w:sz w:val="24"/>
        </w:rPr>
        <w:t>、免疫印迹试验（</w:t>
      </w:r>
      <w:r>
        <w:rPr>
          <w:rFonts w:eastAsiaTheme="minorEastAsia"/>
          <w:sz w:val="24"/>
        </w:rPr>
        <w:t>Western blot</w:t>
      </w:r>
      <w:r>
        <w:rPr>
          <w:rFonts w:hAnsiTheme="minorEastAsia" w:eastAsiaTheme="minorEastAsia"/>
          <w:sz w:val="24"/>
        </w:rPr>
        <w:t>），以及以可溶性蛋白为抗原的斑点免疫金渗滤法（dot immunogold filtrationassay,</w:t>
      </w:r>
      <w:r>
        <w:rPr>
          <w:rFonts w:hint="eastAsia" w:hAnsiTheme="minorEastAsia" w:eastAsiaTheme="minorEastAsia"/>
          <w:sz w:val="24"/>
        </w:rPr>
        <w:t xml:space="preserve"> </w:t>
      </w:r>
      <w:r>
        <w:rPr>
          <w:rFonts w:hAnsiTheme="minorEastAsia" w:eastAsiaTheme="minorEastAsia"/>
          <w:sz w:val="24"/>
        </w:rPr>
        <w:t>DIGFA）</w:t>
      </w:r>
      <w:r>
        <w:rPr>
          <w:rFonts w:hint="eastAsia" w:hAnsiTheme="minorEastAsia" w:eastAsiaTheme="minorEastAsia"/>
          <w:sz w:val="24"/>
        </w:rPr>
        <w:t>，</w:t>
      </w:r>
      <w:r>
        <w:rPr>
          <w:rFonts w:hAnsiTheme="minorEastAsia" w:eastAsiaTheme="minorEastAsia"/>
          <w:sz w:val="24"/>
        </w:rPr>
        <w:t>但市场上</w:t>
      </w:r>
      <w:r>
        <w:rPr>
          <w:rFonts w:hint="eastAsia" w:hAnsiTheme="minorEastAsia" w:eastAsiaTheme="minorEastAsia"/>
          <w:sz w:val="24"/>
        </w:rPr>
        <w:t>尚</w:t>
      </w:r>
      <w:r>
        <w:rPr>
          <w:rFonts w:hAnsiTheme="minorEastAsia" w:eastAsiaTheme="minorEastAsia"/>
          <w:sz w:val="24"/>
        </w:rPr>
        <w:t>缺乏商品化、质量优良的检测试剂盒。</w:t>
      </w:r>
    </w:p>
    <w:p w14:paraId="7A0D4DFD">
      <w:pPr>
        <w:pStyle w:val="16"/>
        <w:adjustRightInd w:val="0"/>
        <w:snapToGrid w:val="0"/>
        <w:spacing w:line="360" w:lineRule="auto"/>
        <w:ind w:firstLine="482" w:firstLineChars="200"/>
        <w:rPr>
          <w:rFonts w:ascii="Times New Roman" w:hAnsi="Times New Roman" w:eastAsiaTheme="minorEastAsia"/>
          <w:b/>
          <w:kern w:val="0"/>
          <w:sz w:val="24"/>
          <w:szCs w:val="24"/>
        </w:rPr>
      </w:pPr>
      <w:r>
        <w:rPr>
          <w:rFonts w:ascii="Times New Roman" w:hAnsi="Times New Roman" w:eastAsiaTheme="minorEastAsia"/>
          <w:b/>
          <w:kern w:val="0"/>
          <w:sz w:val="24"/>
          <w:szCs w:val="24"/>
        </w:rPr>
        <w:t>3</w:t>
      </w:r>
      <w:r>
        <w:rPr>
          <w:rFonts w:ascii="Times New Roman" w:hAnsiTheme="minorEastAsia" w:eastAsiaTheme="minorEastAsia"/>
          <w:b/>
          <w:kern w:val="0"/>
          <w:sz w:val="24"/>
          <w:szCs w:val="24"/>
        </w:rPr>
        <w:t>、我国动物食品裂头蚴检测技术标准缺乏，严重影响食品的质量和安全</w:t>
      </w:r>
    </w:p>
    <w:p w14:paraId="176198AA">
      <w:pPr>
        <w:pStyle w:val="16"/>
        <w:adjustRightInd w:val="0"/>
        <w:snapToGrid w:val="0"/>
        <w:spacing w:line="360" w:lineRule="auto"/>
        <w:ind w:firstLine="555"/>
        <w:rPr>
          <w:rFonts w:ascii="Times New Roman" w:hAnsi="Times New Roman" w:eastAsiaTheme="minorEastAsia"/>
          <w:color w:val="0000FF"/>
          <w:kern w:val="0"/>
          <w:sz w:val="24"/>
          <w:szCs w:val="24"/>
        </w:rPr>
      </w:pPr>
      <w:r>
        <w:rPr>
          <w:rFonts w:ascii="Times New Roman" w:hAnsiTheme="minorEastAsia" w:eastAsiaTheme="minorEastAsia"/>
          <w:kern w:val="0"/>
          <w:sz w:val="24"/>
          <w:szCs w:val="24"/>
        </w:rPr>
        <w:t>我国</w:t>
      </w:r>
      <w:r>
        <w:rPr>
          <w:rFonts w:hint="eastAsia" w:ascii="Times New Roman" w:hAnsiTheme="minorEastAsia" w:eastAsiaTheme="minorEastAsia"/>
          <w:kern w:val="0"/>
          <w:sz w:val="24"/>
          <w:szCs w:val="24"/>
        </w:rPr>
        <w:t>目前实施</w:t>
      </w:r>
      <w:r>
        <w:rPr>
          <w:rFonts w:ascii="Times New Roman" w:hAnsiTheme="minorEastAsia" w:eastAsiaTheme="minorEastAsia"/>
          <w:kern w:val="0"/>
          <w:sz w:val="24"/>
          <w:szCs w:val="24"/>
        </w:rPr>
        <w:t>的裂头蚴</w:t>
      </w:r>
      <w:r>
        <w:rPr>
          <w:rFonts w:hint="eastAsia" w:ascii="Times New Roman" w:hAnsiTheme="minorEastAsia" w:eastAsiaTheme="minorEastAsia"/>
          <w:kern w:val="0"/>
          <w:sz w:val="24"/>
          <w:szCs w:val="24"/>
        </w:rPr>
        <w:t>领域</w:t>
      </w:r>
      <w:r>
        <w:rPr>
          <w:rFonts w:ascii="Times New Roman" w:hAnsiTheme="minorEastAsia" w:eastAsiaTheme="minorEastAsia"/>
          <w:kern w:val="0"/>
          <w:sz w:val="24"/>
          <w:szCs w:val="24"/>
        </w:rPr>
        <w:t>的标准，仅有发布于</w:t>
      </w:r>
      <w:r>
        <w:rPr>
          <w:rFonts w:ascii="Times New Roman" w:hAnsi="Times New Roman" w:eastAsiaTheme="minorEastAsia"/>
          <w:kern w:val="0"/>
          <w:sz w:val="24"/>
          <w:szCs w:val="24"/>
        </w:rPr>
        <w:t>2013</w:t>
      </w:r>
      <w:r>
        <w:rPr>
          <w:rFonts w:ascii="Times New Roman" w:hAnsiTheme="minorEastAsia" w:eastAsiaTheme="minorEastAsia"/>
          <w:kern w:val="0"/>
          <w:sz w:val="24"/>
          <w:szCs w:val="24"/>
        </w:rPr>
        <w:t>年的卫生行业标准《裂头蚴病的诊断》（编号</w:t>
      </w:r>
      <w:r>
        <w:rPr>
          <w:rFonts w:ascii="Times New Roman" w:hAnsi="Times New Roman" w:eastAsiaTheme="minorEastAsia"/>
          <w:color w:val="333333"/>
          <w:kern w:val="0"/>
          <w:sz w:val="24"/>
          <w:szCs w:val="24"/>
        </w:rPr>
        <w:t>WS 438-2013</w:t>
      </w:r>
      <w:r>
        <w:rPr>
          <w:rFonts w:ascii="Times New Roman" w:hAnsiTheme="minorEastAsia" w:eastAsiaTheme="minorEastAsia"/>
          <w:kern w:val="0"/>
          <w:sz w:val="24"/>
          <w:szCs w:val="24"/>
        </w:rPr>
        <w:t>），用于全国各级医疗机构和疾病预防控制机构对人体裂头蚴病的诊断</w:t>
      </w:r>
      <w:r>
        <w:rPr>
          <w:rFonts w:hint="eastAsia" w:ascii="Times New Roman" w:hAnsiTheme="minorEastAsia" w:eastAsiaTheme="minorEastAsia"/>
          <w:kern w:val="0"/>
          <w:sz w:val="24"/>
          <w:szCs w:val="24"/>
        </w:rPr>
        <w:t>；</w:t>
      </w:r>
      <w:r>
        <w:rPr>
          <w:rFonts w:hAnsiTheme="minorEastAsia" w:eastAsiaTheme="minorEastAsia"/>
          <w:sz w:val="24"/>
        </w:rPr>
        <w:t>《裂头绦虫幼虫检测》</w:t>
      </w:r>
      <w:r>
        <w:rPr>
          <w:rFonts w:ascii="Times New Roman" w:hAnsi="Times New Roman" w:eastAsiaTheme="minorEastAsia"/>
          <w:sz w:val="24"/>
        </w:rPr>
        <w:t>（WS/T 571-2017）</w:t>
      </w:r>
      <w:r>
        <w:rPr>
          <w:rFonts w:hint="eastAsia" w:hAnsiTheme="minorEastAsia" w:eastAsiaTheme="minorEastAsia"/>
          <w:sz w:val="24"/>
        </w:rPr>
        <w:t>，用于鱼、蛙和蛇中裂头绦虫幼虫的检测</w:t>
      </w:r>
      <w:r>
        <w:rPr>
          <w:rFonts w:hAnsiTheme="minorEastAsia" w:eastAsiaTheme="minorEastAsia"/>
          <w:sz w:val="24"/>
        </w:rPr>
        <w:t>。</w:t>
      </w:r>
      <w:r>
        <w:rPr>
          <w:rFonts w:hint="eastAsia" w:hAnsiTheme="minorEastAsia" w:eastAsiaTheme="minorEastAsia"/>
          <w:sz w:val="24"/>
        </w:rPr>
        <w:t>但</w:t>
      </w:r>
      <w:r>
        <w:rPr>
          <w:rFonts w:hAnsiTheme="minorEastAsia" w:eastAsiaTheme="minorEastAsia"/>
          <w:sz w:val="24"/>
        </w:rPr>
        <w:t>人裂头蚴病诊断标准不适合动物源性食品中裂头蚴的检测</w:t>
      </w:r>
      <w:r>
        <w:rPr>
          <w:rFonts w:hint="eastAsia" w:hAnsiTheme="minorEastAsia" w:eastAsiaTheme="minorEastAsia"/>
          <w:sz w:val="24"/>
        </w:rPr>
        <w:t>，水产品中寄生虫的检验技术标准也不适合畜禽等动物</w:t>
      </w:r>
      <w:r>
        <w:rPr>
          <w:rFonts w:hAnsiTheme="minorEastAsia" w:eastAsiaTheme="minorEastAsia"/>
          <w:sz w:val="24"/>
        </w:rPr>
        <w:t>。</w:t>
      </w:r>
      <w:r>
        <w:rPr>
          <w:rFonts w:hint="eastAsia" w:ascii="Times New Roman" w:hAnsiTheme="minorEastAsia" w:eastAsiaTheme="minorEastAsia"/>
          <w:kern w:val="0"/>
          <w:sz w:val="24"/>
          <w:szCs w:val="24"/>
        </w:rPr>
        <w:t>迄今尚</w:t>
      </w:r>
      <w:r>
        <w:rPr>
          <w:rFonts w:ascii="Times New Roman" w:hAnsiTheme="minorEastAsia" w:eastAsiaTheme="minorEastAsia"/>
          <w:kern w:val="0"/>
          <w:sz w:val="24"/>
          <w:szCs w:val="24"/>
        </w:rPr>
        <w:t>缺乏有关</w:t>
      </w:r>
      <w:r>
        <w:rPr>
          <w:rFonts w:hint="eastAsia" w:ascii="Times New Roman" w:hAnsiTheme="minorEastAsia" w:eastAsiaTheme="minorEastAsia"/>
          <w:kern w:val="0"/>
          <w:sz w:val="24"/>
          <w:szCs w:val="24"/>
        </w:rPr>
        <w:t>畜禽</w:t>
      </w:r>
      <w:r>
        <w:rPr>
          <w:rFonts w:ascii="Times New Roman" w:hAnsiTheme="minorEastAsia" w:eastAsiaTheme="minorEastAsia"/>
          <w:kern w:val="0"/>
          <w:sz w:val="24"/>
          <w:szCs w:val="24"/>
        </w:rPr>
        <w:t>，尤其是动物</w:t>
      </w:r>
      <w:r>
        <w:rPr>
          <w:rFonts w:hint="eastAsia" w:ascii="Times New Roman" w:hAnsiTheme="minorEastAsia" w:eastAsiaTheme="minorEastAsia"/>
          <w:kern w:val="0"/>
          <w:sz w:val="24"/>
          <w:szCs w:val="24"/>
        </w:rPr>
        <w:t>源</w:t>
      </w:r>
      <w:r>
        <w:rPr>
          <w:rFonts w:ascii="Times New Roman" w:hAnsiTheme="minorEastAsia" w:eastAsiaTheme="minorEastAsia"/>
          <w:kern w:val="0"/>
          <w:sz w:val="24"/>
          <w:szCs w:val="24"/>
        </w:rPr>
        <w:t>性食品</w:t>
      </w:r>
      <w:r>
        <w:rPr>
          <w:rFonts w:hint="eastAsia" w:ascii="Times New Roman" w:hAnsiTheme="minorEastAsia" w:eastAsiaTheme="minorEastAsia"/>
          <w:kern w:val="0"/>
          <w:sz w:val="24"/>
          <w:szCs w:val="24"/>
        </w:rPr>
        <w:t>中跌宫绦虫</w:t>
      </w:r>
      <w:r>
        <w:rPr>
          <w:rFonts w:ascii="Times New Roman" w:hAnsiTheme="minorEastAsia" w:eastAsiaTheme="minorEastAsia"/>
          <w:kern w:val="0"/>
          <w:sz w:val="24"/>
          <w:szCs w:val="24"/>
        </w:rPr>
        <w:t>裂头蚴的检测技术标准，用于指导、规范现场和实验室的检测；动物以及动物源性食品中裂头蚴污染的田间调查甚少，导致：（</w:t>
      </w:r>
      <w:r>
        <w:rPr>
          <w:rFonts w:ascii="Times New Roman" w:hAnsi="Times New Roman" w:eastAsiaTheme="minorEastAsia"/>
          <w:kern w:val="0"/>
          <w:sz w:val="24"/>
          <w:szCs w:val="24"/>
        </w:rPr>
        <w:t>1</w:t>
      </w:r>
      <w:r>
        <w:rPr>
          <w:rFonts w:ascii="Times New Roman" w:hAnsiTheme="minorEastAsia" w:eastAsiaTheme="minorEastAsia"/>
          <w:kern w:val="0"/>
          <w:sz w:val="24"/>
          <w:szCs w:val="24"/>
        </w:rPr>
        <w:t>）我国裂头蚴中间宿主和转续宿主感染的数据、资料极其匮乏；（</w:t>
      </w:r>
      <w:r>
        <w:rPr>
          <w:rFonts w:ascii="Times New Roman" w:hAnsi="Times New Roman" w:eastAsiaTheme="minorEastAsia"/>
          <w:kern w:val="0"/>
          <w:sz w:val="24"/>
          <w:szCs w:val="24"/>
        </w:rPr>
        <w:t>2</w:t>
      </w:r>
      <w:r>
        <w:rPr>
          <w:rFonts w:ascii="Times New Roman" w:hAnsiTheme="minorEastAsia" w:eastAsiaTheme="minorEastAsia"/>
          <w:kern w:val="0"/>
          <w:sz w:val="24"/>
          <w:szCs w:val="24"/>
        </w:rPr>
        <w:t>）不同调查人员采用不同的方法，所得结果缺乏可比性；（</w:t>
      </w:r>
      <w:r>
        <w:rPr>
          <w:rFonts w:ascii="Times New Roman" w:hAnsi="Times New Roman" w:eastAsiaTheme="minorEastAsia"/>
          <w:kern w:val="0"/>
          <w:sz w:val="24"/>
          <w:szCs w:val="24"/>
        </w:rPr>
        <w:t>3</w:t>
      </w:r>
      <w:r>
        <w:rPr>
          <w:rFonts w:ascii="Times New Roman" w:hAnsiTheme="minorEastAsia" w:eastAsiaTheme="minorEastAsia"/>
          <w:kern w:val="0"/>
          <w:sz w:val="24"/>
          <w:szCs w:val="24"/>
        </w:rPr>
        <w:t>）对动物源性食品中裂头蚴的存在情况掌握不清，对其危害性缺乏认识，从而使人感染的数量持续增加。</w:t>
      </w:r>
    </w:p>
    <w:p w14:paraId="6A0E2842">
      <w:pPr>
        <w:adjustRightInd w:val="0"/>
        <w:snapToGrid w:val="0"/>
        <w:spacing w:before="31" w:beforeLines="10" w:after="31" w:afterLines="10" w:line="360" w:lineRule="auto"/>
        <w:ind w:firstLine="472" w:firstLineChars="196"/>
        <w:rPr>
          <w:rFonts w:asciiTheme="minorEastAsia" w:hAnsiTheme="minorEastAsia" w:eastAsiaTheme="minorEastAsia"/>
          <w:b/>
          <w:bCs/>
          <w:sz w:val="24"/>
        </w:rPr>
      </w:pPr>
      <w:r>
        <w:rPr>
          <w:rFonts w:asciiTheme="minorEastAsia" w:hAnsiTheme="minorEastAsia" w:eastAsiaTheme="minorEastAsia"/>
          <w:b/>
          <w:bCs/>
          <w:sz w:val="24"/>
        </w:rPr>
        <w:t>（</w:t>
      </w:r>
      <w:r>
        <w:rPr>
          <w:rFonts w:hint="eastAsia" w:asciiTheme="minorEastAsia" w:hAnsiTheme="minorEastAsia" w:eastAsiaTheme="minorEastAsia"/>
          <w:b/>
          <w:bCs/>
          <w:sz w:val="24"/>
        </w:rPr>
        <w:t>三</w:t>
      </w:r>
      <w:r>
        <w:rPr>
          <w:rFonts w:asciiTheme="minorEastAsia" w:hAnsiTheme="minorEastAsia" w:eastAsiaTheme="minorEastAsia"/>
          <w:b/>
          <w:bCs/>
          <w:sz w:val="24"/>
        </w:rPr>
        <w:t>）技术经济论证</w:t>
      </w:r>
    </w:p>
    <w:p w14:paraId="3012FFF0">
      <w:pPr>
        <w:autoSpaceDE w:val="0"/>
        <w:autoSpaceDN w:val="0"/>
        <w:adjustRightInd w:val="0"/>
        <w:snapToGrid w:val="0"/>
        <w:spacing w:line="360" w:lineRule="auto"/>
        <w:ind w:firstLine="435"/>
        <w:jc w:val="left"/>
        <w:rPr>
          <w:rFonts w:eastAsiaTheme="minorEastAsia"/>
          <w:kern w:val="0"/>
          <w:sz w:val="24"/>
        </w:rPr>
      </w:pPr>
      <w:r>
        <w:rPr>
          <w:rFonts w:hAnsiTheme="minorEastAsia" w:eastAsiaTheme="minorEastAsia"/>
          <w:kern w:val="0"/>
          <w:sz w:val="24"/>
        </w:rPr>
        <w:t>通过比较和优化，建立了适用于猪、禽、蛙、蛇等动物肌肉、脂肪等组织中携带的</w:t>
      </w:r>
      <w:r>
        <w:rPr>
          <w:rFonts w:hint="eastAsia" w:hAnsiTheme="minorEastAsia" w:eastAsiaTheme="minorEastAsia"/>
          <w:kern w:val="0"/>
          <w:sz w:val="24"/>
        </w:rPr>
        <w:t>跌宫绦虫</w:t>
      </w:r>
      <w:r>
        <w:rPr>
          <w:rFonts w:hAnsiTheme="minorEastAsia" w:eastAsiaTheme="minorEastAsia"/>
          <w:kern w:val="0"/>
          <w:sz w:val="24"/>
        </w:rPr>
        <w:t>裂头蚴检测用的</w:t>
      </w:r>
      <w:r>
        <w:rPr>
          <w:rFonts w:hint="eastAsia" w:hAnsiTheme="minorEastAsia" w:eastAsiaTheme="minorEastAsia"/>
          <w:kern w:val="0"/>
          <w:sz w:val="24"/>
        </w:rPr>
        <w:t>目检法、显微镜检法、</w:t>
      </w:r>
      <w:r>
        <w:rPr>
          <w:rFonts w:eastAsiaTheme="minorEastAsia"/>
          <w:kern w:val="0"/>
          <w:sz w:val="24"/>
        </w:rPr>
        <w:t>PCR</w:t>
      </w:r>
      <w:r>
        <w:rPr>
          <w:rFonts w:hint="eastAsia" w:eastAsiaTheme="minorEastAsia"/>
          <w:kern w:val="0"/>
          <w:sz w:val="24"/>
        </w:rPr>
        <w:t>检测</w:t>
      </w:r>
      <w:r>
        <w:rPr>
          <w:rFonts w:hAnsiTheme="minorEastAsia" w:eastAsiaTheme="minorEastAsia"/>
          <w:kern w:val="0"/>
          <w:sz w:val="24"/>
        </w:rPr>
        <w:t>法。将这些方法应用于上海、重庆、广州屠宰场采集的</w:t>
      </w:r>
      <w:r>
        <w:rPr>
          <w:rFonts w:eastAsiaTheme="minorEastAsia"/>
          <w:kern w:val="0"/>
          <w:sz w:val="24"/>
        </w:rPr>
        <w:t>1129</w:t>
      </w:r>
      <w:r>
        <w:rPr>
          <w:rFonts w:hAnsiTheme="minorEastAsia" w:eastAsiaTheme="minorEastAsia"/>
          <w:kern w:val="0"/>
          <w:sz w:val="24"/>
        </w:rPr>
        <w:t>份、</w:t>
      </w:r>
      <w:r>
        <w:rPr>
          <w:rFonts w:eastAsiaTheme="minorEastAsia"/>
          <w:kern w:val="0"/>
          <w:sz w:val="24"/>
        </w:rPr>
        <w:t>1073</w:t>
      </w:r>
      <w:r>
        <w:rPr>
          <w:rFonts w:hAnsiTheme="minorEastAsia" w:eastAsiaTheme="minorEastAsia"/>
          <w:kern w:val="0"/>
          <w:sz w:val="24"/>
        </w:rPr>
        <w:t>、</w:t>
      </w:r>
      <w:r>
        <w:rPr>
          <w:rFonts w:eastAsiaTheme="minorEastAsia"/>
          <w:kern w:val="0"/>
          <w:sz w:val="24"/>
        </w:rPr>
        <w:t>658</w:t>
      </w:r>
      <w:r>
        <w:rPr>
          <w:rFonts w:hAnsiTheme="minorEastAsia" w:eastAsiaTheme="minorEastAsia"/>
          <w:kern w:val="0"/>
          <w:sz w:val="24"/>
        </w:rPr>
        <w:t>份样品的检测，结果分别发现阳性样品</w:t>
      </w:r>
      <w:r>
        <w:rPr>
          <w:rFonts w:eastAsiaTheme="minorEastAsia"/>
          <w:kern w:val="0"/>
          <w:sz w:val="24"/>
        </w:rPr>
        <w:t>6</w:t>
      </w:r>
      <w:r>
        <w:rPr>
          <w:rFonts w:hAnsiTheme="minorEastAsia" w:eastAsiaTheme="minorEastAsia"/>
          <w:kern w:val="0"/>
          <w:sz w:val="24"/>
        </w:rPr>
        <w:t>、</w:t>
      </w:r>
      <w:r>
        <w:rPr>
          <w:rFonts w:eastAsiaTheme="minorEastAsia"/>
          <w:kern w:val="0"/>
          <w:sz w:val="24"/>
        </w:rPr>
        <w:t>4</w:t>
      </w:r>
      <w:r>
        <w:rPr>
          <w:rFonts w:hAnsiTheme="minorEastAsia" w:eastAsiaTheme="minorEastAsia"/>
          <w:kern w:val="0"/>
          <w:sz w:val="24"/>
        </w:rPr>
        <w:t>、</w:t>
      </w:r>
      <w:r>
        <w:rPr>
          <w:rFonts w:eastAsiaTheme="minorEastAsia"/>
          <w:kern w:val="0"/>
          <w:sz w:val="24"/>
        </w:rPr>
        <w:t>6</w:t>
      </w:r>
      <w:r>
        <w:rPr>
          <w:rFonts w:hAnsiTheme="minorEastAsia" w:eastAsiaTheme="minorEastAsia"/>
          <w:kern w:val="0"/>
          <w:sz w:val="24"/>
        </w:rPr>
        <w:t>份，阳性率分别为</w:t>
      </w:r>
      <w:r>
        <w:rPr>
          <w:rFonts w:eastAsiaTheme="minorEastAsia"/>
          <w:kern w:val="0"/>
          <w:sz w:val="24"/>
        </w:rPr>
        <w:t>0.53%</w:t>
      </w:r>
      <w:r>
        <w:rPr>
          <w:rFonts w:hAnsiTheme="minorEastAsia" w:eastAsiaTheme="minorEastAsia"/>
          <w:kern w:val="0"/>
          <w:sz w:val="24"/>
        </w:rPr>
        <w:t>、</w:t>
      </w:r>
      <w:r>
        <w:rPr>
          <w:rFonts w:eastAsiaTheme="minorEastAsia"/>
          <w:kern w:val="0"/>
          <w:sz w:val="24"/>
        </w:rPr>
        <w:t>0.37%</w:t>
      </w:r>
      <w:r>
        <w:rPr>
          <w:rFonts w:hAnsiTheme="minorEastAsia" w:eastAsiaTheme="minorEastAsia"/>
          <w:kern w:val="0"/>
          <w:sz w:val="24"/>
        </w:rPr>
        <w:t>、</w:t>
      </w:r>
      <w:r>
        <w:rPr>
          <w:rFonts w:eastAsiaTheme="minorEastAsia"/>
          <w:kern w:val="0"/>
          <w:sz w:val="24"/>
        </w:rPr>
        <w:t>0.91%</w:t>
      </w:r>
      <w:r>
        <w:rPr>
          <w:rFonts w:hAnsiTheme="minorEastAsia" w:eastAsiaTheme="minorEastAsia"/>
          <w:kern w:val="0"/>
          <w:sz w:val="24"/>
        </w:rPr>
        <w:t>。详细见表</w:t>
      </w:r>
      <w:r>
        <w:rPr>
          <w:rFonts w:eastAsiaTheme="minorEastAsia"/>
          <w:kern w:val="0"/>
          <w:sz w:val="24"/>
        </w:rPr>
        <w:t>1</w:t>
      </w:r>
      <w:r>
        <w:rPr>
          <w:rFonts w:hint="eastAsia" w:eastAsiaTheme="minorEastAsia"/>
          <w:kern w:val="0"/>
          <w:sz w:val="24"/>
        </w:rPr>
        <w:t>。</w:t>
      </w:r>
    </w:p>
    <w:p w14:paraId="1A0C125E">
      <w:pPr>
        <w:autoSpaceDE w:val="0"/>
        <w:autoSpaceDN w:val="0"/>
        <w:adjustRightInd w:val="0"/>
        <w:snapToGrid w:val="0"/>
        <w:spacing w:line="360" w:lineRule="auto"/>
        <w:jc w:val="left"/>
        <w:rPr>
          <w:rFonts w:asciiTheme="minorEastAsia" w:hAnsiTheme="minorEastAsia" w:eastAsiaTheme="minorEastAsia"/>
          <w:kern w:val="0"/>
          <w:sz w:val="24"/>
        </w:rPr>
      </w:pPr>
    </w:p>
    <w:p w14:paraId="74D5E541">
      <w:pPr>
        <w:autoSpaceDE w:val="0"/>
        <w:autoSpaceDN w:val="0"/>
        <w:adjustRightInd w:val="0"/>
        <w:snapToGrid w:val="0"/>
        <w:spacing w:line="360" w:lineRule="auto"/>
        <w:jc w:val="left"/>
        <w:rPr>
          <w:kern w:val="0"/>
          <w:szCs w:val="21"/>
        </w:rPr>
      </w:pPr>
    </w:p>
    <w:p w14:paraId="0F3D5137">
      <w:pPr>
        <w:autoSpaceDE w:val="0"/>
        <w:autoSpaceDN w:val="0"/>
        <w:adjustRightInd w:val="0"/>
        <w:snapToGrid w:val="0"/>
        <w:spacing w:line="360" w:lineRule="auto"/>
        <w:jc w:val="left"/>
        <w:rPr>
          <w:kern w:val="0"/>
          <w:szCs w:val="21"/>
        </w:rPr>
      </w:pPr>
    </w:p>
    <w:p w14:paraId="17F932BA">
      <w:pPr>
        <w:autoSpaceDE w:val="0"/>
        <w:autoSpaceDN w:val="0"/>
        <w:adjustRightInd w:val="0"/>
        <w:snapToGrid w:val="0"/>
        <w:spacing w:line="360" w:lineRule="auto"/>
        <w:jc w:val="center"/>
        <w:rPr>
          <w:b/>
          <w:kern w:val="0"/>
          <w:szCs w:val="21"/>
        </w:rPr>
      </w:pPr>
      <w:r>
        <w:rPr>
          <w:rFonts w:hAnsi="宋体"/>
          <w:b/>
          <w:kern w:val="0"/>
          <w:szCs w:val="21"/>
        </w:rPr>
        <w:t>表</w:t>
      </w:r>
      <w:r>
        <w:rPr>
          <w:b/>
          <w:kern w:val="0"/>
          <w:szCs w:val="21"/>
        </w:rPr>
        <w:t xml:space="preserve">1  </w:t>
      </w:r>
      <w:r>
        <w:rPr>
          <w:rFonts w:hAnsi="宋体"/>
          <w:b/>
          <w:kern w:val="0"/>
          <w:szCs w:val="21"/>
        </w:rPr>
        <w:t>上海、重庆、广州屠宰场猪膈肌裂头蚴</w:t>
      </w:r>
      <w:r>
        <w:rPr>
          <w:b/>
          <w:kern w:val="0"/>
          <w:szCs w:val="21"/>
        </w:rPr>
        <w:t>PCR</w:t>
      </w:r>
      <w:r>
        <w:rPr>
          <w:rFonts w:hAnsi="宋体"/>
          <w:b/>
          <w:kern w:val="0"/>
          <w:szCs w:val="21"/>
        </w:rPr>
        <w:t>检测</w:t>
      </w:r>
    </w:p>
    <w:tbl>
      <w:tblPr>
        <w:tblStyle w:val="7"/>
        <w:tblW w:w="6480" w:type="dxa"/>
        <w:jc w:val="center"/>
        <w:tblLayout w:type="autofit"/>
        <w:tblCellMar>
          <w:top w:w="0" w:type="dxa"/>
          <w:left w:w="108" w:type="dxa"/>
          <w:bottom w:w="0" w:type="dxa"/>
          <w:right w:w="108" w:type="dxa"/>
        </w:tblCellMar>
      </w:tblPr>
      <w:tblGrid>
        <w:gridCol w:w="1080"/>
        <w:gridCol w:w="1080"/>
        <w:gridCol w:w="1080"/>
        <w:gridCol w:w="1080"/>
        <w:gridCol w:w="1080"/>
        <w:gridCol w:w="1080"/>
      </w:tblGrid>
      <w:tr w14:paraId="11411014">
        <w:tblPrEx>
          <w:tblCellMar>
            <w:top w:w="0" w:type="dxa"/>
            <w:left w:w="108" w:type="dxa"/>
            <w:bottom w:w="0" w:type="dxa"/>
            <w:right w:w="108" w:type="dxa"/>
          </w:tblCellMar>
        </w:tblPrEx>
        <w:trPr>
          <w:trHeight w:val="285" w:hRule="atLeast"/>
          <w:jc w:val="center"/>
        </w:trPr>
        <w:tc>
          <w:tcPr>
            <w:tcW w:w="1080" w:type="dxa"/>
            <w:vMerge w:val="restart"/>
            <w:tcBorders>
              <w:top w:val="single" w:color="auto" w:sz="8" w:space="0"/>
              <w:left w:val="nil"/>
              <w:bottom w:val="single" w:color="000000" w:sz="8" w:space="0"/>
              <w:right w:val="nil"/>
            </w:tcBorders>
            <w:shd w:val="clear" w:color="000000" w:fill="FFFFFF"/>
            <w:vAlign w:val="center"/>
          </w:tcPr>
          <w:p w14:paraId="1D3573F7">
            <w:pPr>
              <w:widowControl/>
              <w:jc w:val="center"/>
              <w:rPr>
                <w:b/>
                <w:bCs/>
                <w:color w:val="000000"/>
                <w:kern w:val="0"/>
                <w:szCs w:val="21"/>
              </w:rPr>
            </w:pPr>
            <w:r>
              <w:rPr>
                <w:rFonts w:hAnsi="宋体"/>
                <w:b/>
                <w:bCs/>
                <w:color w:val="000000"/>
                <w:kern w:val="0"/>
                <w:szCs w:val="21"/>
              </w:rPr>
              <w:t>采样省份</w:t>
            </w:r>
          </w:p>
        </w:tc>
        <w:tc>
          <w:tcPr>
            <w:tcW w:w="1080" w:type="dxa"/>
            <w:vMerge w:val="restart"/>
            <w:tcBorders>
              <w:top w:val="single" w:color="auto" w:sz="8" w:space="0"/>
              <w:left w:val="nil"/>
              <w:bottom w:val="single" w:color="000000" w:sz="8" w:space="0"/>
              <w:right w:val="nil"/>
            </w:tcBorders>
            <w:shd w:val="clear" w:color="000000" w:fill="FFFFFF"/>
            <w:vAlign w:val="center"/>
          </w:tcPr>
          <w:p w14:paraId="7973F7A9">
            <w:pPr>
              <w:widowControl/>
              <w:jc w:val="center"/>
              <w:rPr>
                <w:b/>
                <w:bCs/>
                <w:color w:val="000000"/>
                <w:kern w:val="0"/>
                <w:szCs w:val="21"/>
              </w:rPr>
            </w:pPr>
            <w:r>
              <w:rPr>
                <w:rFonts w:hAnsi="宋体"/>
                <w:b/>
                <w:bCs/>
                <w:color w:val="000000"/>
                <w:kern w:val="0"/>
                <w:szCs w:val="21"/>
              </w:rPr>
              <w:t>日期</w:t>
            </w:r>
          </w:p>
        </w:tc>
        <w:tc>
          <w:tcPr>
            <w:tcW w:w="1080" w:type="dxa"/>
            <w:vMerge w:val="restart"/>
            <w:tcBorders>
              <w:top w:val="single" w:color="auto" w:sz="8" w:space="0"/>
              <w:left w:val="nil"/>
              <w:bottom w:val="single" w:color="000000" w:sz="8" w:space="0"/>
              <w:right w:val="nil"/>
            </w:tcBorders>
            <w:shd w:val="clear" w:color="000000" w:fill="FFFFFF"/>
            <w:vAlign w:val="center"/>
          </w:tcPr>
          <w:p w14:paraId="3D847E5F">
            <w:pPr>
              <w:widowControl/>
              <w:jc w:val="center"/>
              <w:rPr>
                <w:b/>
                <w:bCs/>
                <w:color w:val="000000"/>
                <w:kern w:val="0"/>
                <w:szCs w:val="21"/>
              </w:rPr>
            </w:pPr>
            <w:r>
              <w:rPr>
                <w:rFonts w:hAnsi="宋体"/>
                <w:b/>
                <w:bCs/>
                <w:color w:val="000000"/>
                <w:kern w:val="0"/>
                <w:szCs w:val="21"/>
              </w:rPr>
              <w:t>地区</w:t>
            </w:r>
          </w:p>
        </w:tc>
        <w:tc>
          <w:tcPr>
            <w:tcW w:w="1080" w:type="dxa"/>
            <w:tcBorders>
              <w:top w:val="single" w:color="auto" w:sz="8" w:space="0"/>
              <w:left w:val="nil"/>
              <w:bottom w:val="single" w:color="auto" w:sz="8" w:space="0"/>
              <w:right w:val="nil"/>
            </w:tcBorders>
            <w:shd w:val="clear" w:color="000000" w:fill="FFFFFF"/>
            <w:vAlign w:val="center"/>
          </w:tcPr>
          <w:p w14:paraId="6FADD78E">
            <w:pPr>
              <w:widowControl/>
              <w:jc w:val="center"/>
              <w:rPr>
                <w:b/>
                <w:bCs/>
                <w:color w:val="000000"/>
                <w:kern w:val="0"/>
                <w:szCs w:val="21"/>
              </w:rPr>
            </w:pPr>
            <w:r>
              <w:rPr>
                <w:rFonts w:hAnsi="宋体"/>
                <w:b/>
                <w:bCs/>
                <w:color w:val="000000"/>
                <w:kern w:val="0"/>
                <w:szCs w:val="21"/>
              </w:rPr>
              <w:t>样品数量</w:t>
            </w:r>
          </w:p>
        </w:tc>
        <w:tc>
          <w:tcPr>
            <w:tcW w:w="2160" w:type="dxa"/>
            <w:gridSpan w:val="2"/>
            <w:tcBorders>
              <w:top w:val="single" w:color="auto" w:sz="8" w:space="0"/>
              <w:left w:val="nil"/>
              <w:bottom w:val="single" w:color="auto" w:sz="8" w:space="0"/>
              <w:right w:val="nil"/>
            </w:tcBorders>
            <w:shd w:val="clear" w:color="000000" w:fill="FFFFFF"/>
            <w:vAlign w:val="center"/>
          </w:tcPr>
          <w:p w14:paraId="1D6C1810">
            <w:pPr>
              <w:widowControl/>
              <w:jc w:val="center"/>
              <w:rPr>
                <w:b/>
                <w:bCs/>
                <w:color w:val="000000"/>
                <w:kern w:val="0"/>
                <w:szCs w:val="21"/>
              </w:rPr>
            </w:pPr>
            <w:r>
              <w:rPr>
                <w:rFonts w:hAnsi="宋体"/>
                <w:b/>
                <w:bCs/>
                <w:color w:val="000000"/>
                <w:kern w:val="0"/>
                <w:szCs w:val="21"/>
              </w:rPr>
              <w:t>曼氏裂头蚴</w:t>
            </w:r>
          </w:p>
        </w:tc>
      </w:tr>
      <w:tr w14:paraId="1E25780C">
        <w:tblPrEx>
          <w:tblCellMar>
            <w:top w:w="0" w:type="dxa"/>
            <w:left w:w="108" w:type="dxa"/>
            <w:bottom w:w="0" w:type="dxa"/>
            <w:right w:w="108" w:type="dxa"/>
          </w:tblCellMar>
        </w:tblPrEx>
        <w:trPr>
          <w:trHeight w:val="465" w:hRule="atLeast"/>
          <w:jc w:val="center"/>
        </w:trPr>
        <w:tc>
          <w:tcPr>
            <w:tcW w:w="1080" w:type="dxa"/>
            <w:vMerge w:val="continue"/>
            <w:tcBorders>
              <w:top w:val="single" w:color="auto" w:sz="8" w:space="0"/>
              <w:left w:val="nil"/>
              <w:bottom w:val="single" w:color="000000" w:sz="8" w:space="0"/>
              <w:right w:val="nil"/>
            </w:tcBorders>
            <w:vAlign w:val="center"/>
          </w:tcPr>
          <w:p w14:paraId="60A2A522">
            <w:pPr>
              <w:widowControl/>
              <w:jc w:val="left"/>
              <w:rPr>
                <w:b/>
                <w:bCs/>
                <w:color w:val="000000"/>
                <w:kern w:val="0"/>
                <w:szCs w:val="21"/>
              </w:rPr>
            </w:pPr>
          </w:p>
        </w:tc>
        <w:tc>
          <w:tcPr>
            <w:tcW w:w="1080" w:type="dxa"/>
            <w:vMerge w:val="continue"/>
            <w:tcBorders>
              <w:top w:val="single" w:color="auto" w:sz="8" w:space="0"/>
              <w:left w:val="nil"/>
              <w:bottom w:val="single" w:color="000000" w:sz="8" w:space="0"/>
              <w:right w:val="nil"/>
            </w:tcBorders>
            <w:vAlign w:val="center"/>
          </w:tcPr>
          <w:p w14:paraId="63536474">
            <w:pPr>
              <w:widowControl/>
              <w:jc w:val="left"/>
              <w:rPr>
                <w:b/>
                <w:bCs/>
                <w:color w:val="000000"/>
                <w:kern w:val="0"/>
                <w:szCs w:val="21"/>
              </w:rPr>
            </w:pPr>
          </w:p>
        </w:tc>
        <w:tc>
          <w:tcPr>
            <w:tcW w:w="1080" w:type="dxa"/>
            <w:vMerge w:val="continue"/>
            <w:tcBorders>
              <w:top w:val="single" w:color="auto" w:sz="8" w:space="0"/>
              <w:left w:val="nil"/>
              <w:bottom w:val="single" w:color="000000" w:sz="8" w:space="0"/>
              <w:right w:val="nil"/>
            </w:tcBorders>
            <w:vAlign w:val="center"/>
          </w:tcPr>
          <w:p w14:paraId="13B6BD82">
            <w:pPr>
              <w:widowControl/>
              <w:jc w:val="left"/>
              <w:rPr>
                <w:b/>
                <w:bCs/>
                <w:color w:val="000000"/>
                <w:kern w:val="0"/>
                <w:szCs w:val="21"/>
              </w:rPr>
            </w:pPr>
          </w:p>
        </w:tc>
        <w:tc>
          <w:tcPr>
            <w:tcW w:w="1080" w:type="dxa"/>
            <w:tcBorders>
              <w:top w:val="nil"/>
              <w:left w:val="nil"/>
              <w:bottom w:val="single" w:color="auto" w:sz="8" w:space="0"/>
              <w:right w:val="nil"/>
            </w:tcBorders>
            <w:shd w:val="clear" w:color="000000" w:fill="FFFFFF"/>
            <w:vAlign w:val="center"/>
          </w:tcPr>
          <w:p w14:paraId="39A63B6B">
            <w:pPr>
              <w:widowControl/>
              <w:jc w:val="center"/>
              <w:rPr>
                <w:b/>
                <w:bCs/>
                <w:color w:val="000000"/>
                <w:kern w:val="0"/>
                <w:szCs w:val="21"/>
              </w:rPr>
            </w:pPr>
            <w:r>
              <w:rPr>
                <w:rFonts w:hAnsi="宋体"/>
                <w:b/>
                <w:bCs/>
                <w:color w:val="000000"/>
                <w:kern w:val="0"/>
                <w:szCs w:val="21"/>
              </w:rPr>
              <w:t>　</w:t>
            </w:r>
          </w:p>
        </w:tc>
        <w:tc>
          <w:tcPr>
            <w:tcW w:w="1080" w:type="dxa"/>
            <w:tcBorders>
              <w:top w:val="nil"/>
              <w:left w:val="nil"/>
              <w:bottom w:val="single" w:color="auto" w:sz="8" w:space="0"/>
              <w:right w:val="nil"/>
            </w:tcBorders>
            <w:shd w:val="clear" w:color="auto" w:fill="auto"/>
            <w:vAlign w:val="center"/>
          </w:tcPr>
          <w:p w14:paraId="1C39EE4C">
            <w:pPr>
              <w:widowControl/>
              <w:jc w:val="center"/>
              <w:rPr>
                <w:b/>
                <w:bCs/>
                <w:color w:val="000000"/>
                <w:kern w:val="0"/>
                <w:szCs w:val="21"/>
              </w:rPr>
            </w:pPr>
            <w:r>
              <w:rPr>
                <w:rFonts w:hAnsi="宋体"/>
                <w:b/>
                <w:bCs/>
                <w:color w:val="000000"/>
                <w:kern w:val="0"/>
                <w:szCs w:val="21"/>
              </w:rPr>
              <w:t>阳性数</w:t>
            </w:r>
          </w:p>
        </w:tc>
        <w:tc>
          <w:tcPr>
            <w:tcW w:w="1080" w:type="dxa"/>
            <w:tcBorders>
              <w:top w:val="nil"/>
              <w:left w:val="nil"/>
              <w:bottom w:val="single" w:color="auto" w:sz="8" w:space="0"/>
              <w:right w:val="nil"/>
            </w:tcBorders>
            <w:shd w:val="clear" w:color="auto" w:fill="auto"/>
            <w:vAlign w:val="center"/>
          </w:tcPr>
          <w:p w14:paraId="2C4B76F4">
            <w:pPr>
              <w:widowControl/>
              <w:jc w:val="center"/>
              <w:rPr>
                <w:b/>
                <w:bCs/>
                <w:color w:val="000000"/>
                <w:kern w:val="0"/>
                <w:szCs w:val="21"/>
              </w:rPr>
            </w:pPr>
            <w:r>
              <w:rPr>
                <w:rFonts w:hAnsi="宋体"/>
                <w:b/>
                <w:bCs/>
                <w:color w:val="000000"/>
                <w:kern w:val="0"/>
                <w:szCs w:val="21"/>
              </w:rPr>
              <w:t>阳性率（</w:t>
            </w:r>
            <w:r>
              <w:rPr>
                <w:b/>
                <w:bCs/>
                <w:color w:val="000000"/>
                <w:kern w:val="0"/>
                <w:szCs w:val="21"/>
              </w:rPr>
              <w:t>%</w:t>
            </w:r>
            <w:r>
              <w:rPr>
                <w:rFonts w:hAnsi="宋体"/>
                <w:b/>
                <w:bCs/>
                <w:color w:val="000000"/>
                <w:kern w:val="0"/>
                <w:szCs w:val="21"/>
              </w:rPr>
              <w:t>）</w:t>
            </w:r>
          </w:p>
        </w:tc>
      </w:tr>
      <w:tr w14:paraId="215EA183">
        <w:tblPrEx>
          <w:tblCellMar>
            <w:top w:w="0" w:type="dxa"/>
            <w:left w:w="108" w:type="dxa"/>
            <w:bottom w:w="0" w:type="dxa"/>
            <w:right w:w="108" w:type="dxa"/>
          </w:tblCellMar>
        </w:tblPrEx>
        <w:trPr>
          <w:trHeight w:val="270" w:hRule="atLeast"/>
          <w:jc w:val="center"/>
        </w:trPr>
        <w:tc>
          <w:tcPr>
            <w:tcW w:w="1080" w:type="dxa"/>
            <w:vMerge w:val="restart"/>
            <w:tcBorders>
              <w:top w:val="single" w:color="000000" w:sz="8" w:space="0"/>
              <w:left w:val="nil"/>
              <w:right w:val="nil"/>
            </w:tcBorders>
            <w:shd w:val="clear" w:color="auto" w:fill="auto"/>
            <w:vAlign w:val="center"/>
          </w:tcPr>
          <w:p w14:paraId="34FFCD87">
            <w:pPr>
              <w:widowControl/>
              <w:jc w:val="center"/>
              <w:rPr>
                <w:color w:val="000000"/>
                <w:kern w:val="0"/>
                <w:szCs w:val="21"/>
              </w:rPr>
            </w:pPr>
            <w:r>
              <w:rPr>
                <w:rFonts w:hAnsi="宋体"/>
                <w:color w:val="000000"/>
                <w:kern w:val="0"/>
                <w:szCs w:val="21"/>
              </w:rPr>
              <w:t>上海</w:t>
            </w:r>
          </w:p>
        </w:tc>
        <w:tc>
          <w:tcPr>
            <w:tcW w:w="1080" w:type="dxa"/>
            <w:vMerge w:val="restart"/>
            <w:tcBorders>
              <w:top w:val="single" w:color="auto" w:sz="4" w:space="0"/>
              <w:left w:val="nil"/>
              <w:bottom w:val="single" w:color="000000" w:sz="4" w:space="0"/>
              <w:right w:val="nil"/>
            </w:tcBorders>
            <w:shd w:val="clear" w:color="auto" w:fill="auto"/>
            <w:vAlign w:val="center"/>
          </w:tcPr>
          <w:p w14:paraId="3DC3ABE0">
            <w:pPr>
              <w:widowControl/>
              <w:jc w:val="center"/>
              <w:rPr>
                <w:color w:val="000000"/>
                <w:kern w:val="0"/>
                <w:szCs w:val="21"/>
              </w:rPr>
            </w:pPr>
            <w:r>
              <w:rPr>
                <w:color w:val="000000"/>
                <w:kern w:val="0"/>
                <w:szCs w:val="21"/>
              </w:rPr>
              <w:t>2015</w:t>
            </w:r>
            <w:r>
              <w:rPr>
                <w:rFonts w:hAnsi="Calibri"/>
                <w:color w:val="000000"/>
                <w:kern w:val="0"/>
                <w:szCs w:val="21"/>
              </w:rPr>
              <w:t>年</w:t>
            </w:r>
            <w:r>
              <w:rPr>
                <w:color w:val="000000"/>
                <w:kern w:val="0"/>
                <w:szCs w:val="21"/>
              </w:rPr>
              <w:t>9-10</w:t>
            </w:r>
            <w:r>
              <w:rPr>
                <w:rFonts w:hAnsi="Calibri"/>
                <w:color w:val="000000"/>
                <w:kern w:val="0"/>
                <w:szCs w:val="21"/>
              </w:rPr>
              <w:t>月</w:t>
            </w:r>
          </w:p>
        </w:tc>
        <w:tc>
          <w:tcPr>
            <w:tcW w:w="1080" w:type="dxa"/>
            <w:tcBorders>
              <w:top w:val="single" w:color="auto" w:sz="4" w:space="0"/>
              <w:left w:val="nil"/>
              <w:bottom w:val="nil"/>
              <w:right w:val="nil"/>
            </w:tcBorders>
            <w:shd w:val="clear" w:color="auto" w:fill="auto"/>
            <w:vAlign w:val="center"/>
          </w:tcPr>
          <w:p w14:paraId="2D2BAF95">
            <w:pPr>
              <w:widowControl/>
              <w:jc w:val="center"/>
              <w:rPr>
                <w:color w:val="000000"/>
                <w:kern w:val="0"/>
                <w:szCs w:val="21"/>
              </w:rPr>
            </w:pPr>
            <w:r>
              <w:rPr>
                <w:rFonts w:hAnsi="宋体"/>
                <w:color w:val="000000"/>
                <w:kern w:val="0"/>
                <w:szCs w:val="21"/>
              </w:rPr>
              <w:t>奉贤</w:t>
            </w:r>
          </w:p>
        </w:tc>
        <w:tc>
          <w:tcPr>
            <w:tcW w:w="1080" w:type="dxa"/>
            <w:tcBorders>
              <w:top w:val="single" w:color="auto" w:sz="4" w:space="0"/>
              <w:left w:val="nil"/>
              <w:bottom w:val="nil"/>
              <w:right w:val="nil"/>
            </w:tcBorders>
            <w:shd w:val="clear" w:color="auto" w:fill="auto"/>
            <w:noWrap/>
            <w:vAlign w:val="bottom"/>
          </w:tcPr>
          <w:p w14:paraId="1AE3F08F">
            <w:pPr>
              <w:widowControl/>
              <w:jc w:val="center"/>
              <w:rPr>
                <w:color w:val="000000"/>
                <w:kern w:val="0"/>
                <w:szCs w:val="21"/>
              </w:rPr>
            </w:pPr>
            <w:r>
              <w:rPr>
                <w:color w:val="000000"/>
                <w:kern w:val="0"/>
                <w:szCs w:val="21"/>
              </w:rPr>
              <w:t>34</w:t>
            </w:r>
          </w:p>
        </w:tc>
        <w:tc>
          <w:tcPr>
            <w:tcW w:w="1080" w:type="dxa"/>
            <w:tcBorders>
              <w:top w:val="single" w:color="auto" w:sz="4" w:space="0"/>
              <w:left w:val="nil"/>
              <w:bottom w:val="nil"/>
              <w:right w:val="nil"/>
            </w:tcBorders>
            <w:shd w:val="clear" w:color="auto" w:fill="auto"/>
            <w:noWrap/>
            <w:vAlign w:val="bottom"/>
          </w:tcPr>
          <w:p w14:paraId="2A4882AA">
            <w:pPr>
              <w:widowControl/>
              <w:jc w:val="center"/>
              <w:rPr>
                <w:color w:val="000000"/>
                <w:kern w:val="0"/>
                <w:szCs w:val="21"/>
              </w:rPr>
            </w:pPr>
            <w:r>
              <w:rPr>
                <w:color w:val="000000"/>
                <w:kern w:val="0"/>
                <w:szCs w:val="21"/>
              </w:rPr>
              <w:t>2</w:t>
            </w:r>
          </w:p>
        </w:tc>
        <w:tc>
          <w:tcPr>
            <w:tcW w:w="1080" w:type="dxa"/>
            <w:tcBorders>
              <w:top w:val="single" w:color="auto" w:sz="4" w:space="0"/>
              <w:left w:val="nil"/>
              <w:bottom w:val="nil"/>
              <w:right w:val="nil"/>
            </w:tcBorders>
            <w:shd w:val="clear" w:color="auto" w:fill="auto"/>
            <w:noWrap/>
            <w:vAlign w:val="bottom"/>
          </w:tcPr>
          <w:p w14:paraId="1AFF6C1C">
            <w:pPr>
              <w:widowControl/>
              <w:jc w:val="center"/>
              <w:rPr>
                <w:color w:val="000000"/>
                <w:kern w:val="0"/>
                <w:szCs w:val="21"/>
              </w:rPr>
            </w:pPr>
            <w:r>
              <w:rPr>
                <w:color w:val="000000"/>
                <w:kern w:val="0"/>
                <w:szCs w:val="21"/>
              </w:rPr>
              <w:t xml:space="preserve">5.88 </w:t>
            </w:r>
          </w:p>
        </w:tc>
      </w:tr>
      <w:tr w14:paraId="510866E4">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7284BF12">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53627BDE">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095054AE">
            <w:pPr>
              <w:widowControl/>
              <w:jc w:val="center"/>
              <w:rPr>
                <w:color w:val="000000"/>
                <w:kern w:val="0"/>
                <w:szCs w:val="21"/>
              </w:rPr>
            </w:pPr>
            <w:r>
              <w:rPr>
                <w:rFonts w:hAnsi="宋体"/>
                <w:color w:val="000000"/>
                <w:kern w:val="0"/>
                <w:szCs w:val="21"/>
              </w:rPr>
              <w:t>嘉定</w:t>
            </w:r>
          </w:p>
        </w:tc>
        <w:tc>
          <w:tcPr>
            <w:tcW w:w="1080" w:type="dxa"/>
            <w:tcBorders>
              <w:top w:val="nil"/>
              <w:left w:val="nil"/>
              <w:bottom w:val="nil"/>
              <w:right w:val="nil"/>
            </w:tcBorders>
            <w:shd w:val="clear" w:color="auto" w:fill="auto"/>
            <w:noWrap/>
            <w:vAlign w:val="bottom"/>
          </w:tcPr>
          <w:p w14:paraId="63D90A48">
            <w:pPr>
              <w:widowControl/>
              <w:jc w:val="center"/>
              <w:rPr>
                <w:color w:val="000000"/>
                <w:kern w:val="0"/>
                <w:szCs w:val="21"/>
              </w:rPr>
            </w:pPr>
            <w:r>
              <w:rPr>
                <w:color w:val="000000"/>
                <w:kern w:val="0"/>
                <w:szCs w:val="21"/>
              </w:rPr>
              <w:t>63</w:t>
            </w:r>
          </w:p>
        </w:tc>
        <w:tc>
          <w:tcPr>
            <w:tcW w:w="1080" w:type="dxa"/>
            <w:tcBorders>
              <w:top w:val="nil"/>
              <w:left w:val="nil"/>
              <w:bottom w:val="nil"/>
              <w:right w:val="nil"/>
            </w:tcBorders>
            <w:shd w:val="clear" w:color="auto" w:fill="auto"/>
            <w:noWrap/>
            <w:vAlign w:val="bottom"/>
          </w:tcPr>
          <w:p w14:paraId="077FCAA4">
            <w:pPr>
              <w:widowControl/>
              <w:jc w:val="center"/>
              <w:rPr>
                <w:color w:val="000000"/>
                <w:kern w:val="0"/>
                <w:szCs w:val="21"/>
              </w:rPr>
            </w:pPr>
            <w:r>
              <w:rPr>
                <w:color w:val="000000"/>
                <w:kern w:val="0"/>
                <w:szCs w:val="21"/>
              </w:rPr>
              <w:t>3</w:t>
            </w:r>
          </w:p>
        </w:tc>
        <w:tc>
          <w:tcPr>
            <w:tcW w:w="1080" w:type="dxa"/>
            <w:tcBorders>
              <w:top w:val="nil"/>
              <w:left w:val="nil"/>
              <w:bottom w:val="nil"/>
              <w:right w:val="nil"/>
            </w:tcBorders>
            <w:shd w:val="clear" w:color="auto" w:fill="auto"/>
            <w:noWrap/>
            <w:vAlign w:val="bottom"/>
          </w:tcPr>
          <w:p w14:paraId="524CB489">
            <w:pPr>
              <w:widowControl/>
              <w:jc w:val="center"/>
              <w:rPr>
                <w:color w:val="000000"/>
                <w:kern w:val="0"/>
                <w:szCs w:val="21"/>
              </w:rPr>
            </w:pPr>
            <w:r>
              <w:rPr>
                <w:color w:val="000000"/>
                <w:kern w:val="0"/>
                <w:szCs w:val="21"/>
              </w:rPr>
              <w:t xml:space="preserve">4.76 </w:t>
            </w:r>
          </w:p>
        </w:tc>
      </w:tr>
      <w:tr w14:paraId="4E4F9A66">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37CCFF43">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335B5FCB">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61E58D74">
            <w:pPr>
              <w:widowControl/>
              <w:jc w:val="center"/>
              <w:rPr>
                <w:color w:val="000000"/>
                <w:kern w:val="0"/>
                <w:szCs w:val="21"/>
              </w:rPr>
            </w:pPr>
            <w:r>
              <w:rPr>
                <w:rFonts w:hAnsi="宋体"/>
                <w:color w:val="000000"/>
                <w:kern w:val="0"/>
                <w:szCs w:val="21"/>
              </w:rPr>
              <w:t>松江</w:t>
            </w:r>
          </w:p>
        </w:tc>
        <w:tc>
          <w:tcPr>
            <w:tcW w:w="1080" w:type="dxa"/>
            <w:tcBorders>
              <w:top w:val="nil"/>
              <w:left w:val="nil"/>
              <w:bottom w:val="nil"/>
              <w:right w:val="nil"/>
            </w:tcBorders>
            <w:shd w:val="clear" w:color="auto" w:fill="auto"/>
            <w:noWrap/>
            <w:vAlign w:val="bottom"/>
          </w:tcPr>
          <w:p w14:paraId="2FB606BE">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55DB8E87">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770EAEF3">
            <w:pPr>
              <w:widowControl/>
              <w:jc w:val="center"/>
              <w:rPr>
                <w:color w:val="000000"/>
                <w:kern w:val="0"/>
                <w:szCs w:val="21"/>
              </w:rPr>
            </w:pPr>
            <w:r>
              <w:rPr>
                <w:color w:val="000000"/>
                <w:kern w:val="0"/>
                <w:szCs w:val="21"/>
              </w:rPr>
              <w:t xml:space="preserve">0.00 </w:t>
            </w:r>
          </w:p>
        </w:tc>
      </w:tr>
      <w:tr w14:paraId="61642452">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3332822D">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6824B0E3">
            <w:pPr>
              <w:widowControl/>
              <w:jc w:val="left"/>
              <w:rPr>
                <w:color w:val="000000"/>
                <w:kern w:val="0"/>
                <w:szCs w:val="21"/>
              </w:rPr>
            </w:pPr>
          </w:p>
        </w:tc>
        <w:tc>
          <w:tcPr>
            <w:tcW w:w="1080" w:type="dxa"/>
            <w:tcBorders>
              <w:top w:val="nil"/>
              <w:left w:val="nil"/>
              <w:bottom w:val="single" w:color="auto" w:sz="4" w:space="0"/>
              <w:right w:val="nil"/>
            </w:tcBorders>
            <w:shd w:val="clear" w:color="000000" w:fill="FFFFFF"/>
            <w:vAlign w:val="center"/>
          </w:tcPr>
          <w:p w14:paraId="13519421">
            <w:pPr>
              <w:widowControl/>
              <w:jc w:val="center"/>
              <w:rPr>
                <w:color w:val="000000"/>
                <w:kern w:val="0"/>
                <w:szCs w:val="21"/>
              </w:rPr>
            </w:pPr>
            <w:r>
              <w:rPr>
                <w:rFonts w:hAnsi="宋体"/>
                <w:color w:val="000000"/>
                <w:kern w:val="0"/>
                <w:szCs w:val="21"/>
              </w:rPr>
              <w:t>小计</w:t>
            </w:r>
          </w:p>
        </w:tc>
        <w:tc>
          <w:tcPr>
            <w:tcW w:w="1080" w:type="dxa"/>
            <w:tcBorders>
              <w:top w:val="nil"/>
              <w:left w:val="nil"/>
              <w:bottom w:val="nil"/>
              <w:right w:val="nil"/>
            </w:tcBorders>
            <w:shd w:val="clear" w:color="auto" w:fill="auto"/>
            <w:noWrap/>
            <w:vAlign w:val="bottom"/>
          </w:tcPr>
          <w:p w14:paraId="7D5D808D">
            <w:pPr>
              <w:widowControl/>
              <w:jc w:val="center"/>
              <w:rPr>
                <w:color w:val="000000"/>
                <w:kern w:val="0"/>
                <w:szCs w:val="21"/>
              </w:rPr>
            </w:pPr>
            <w:r>
              <w:rPr>
                <w:color w:val="000000"/>
                <w:kern w:val="0"/>
                <w:szCs w:val="21"/>
              </w:rPr>
              <w:t>127</w:t>
            </w:r>
          </w:p>
        </w:tc>
        <w:tc>
          <w:tcPr>
            <w:tcW w:w="1080" w:type="dxa"/>
            <w:tcBorders>
              <w:top w:val="nil"/>
              <w:left w:val="nil"/>
              <w:bottom w:val="nil"/>
              <w:right w:val="nil"/>
            </w:tcBorders>
            <w:shd w:val="clear" w:color="auto" w:fill="auto"/>
            <w:noWrap/>
            <w:vAlign w:val="bottom"/>
          </w:tcPr>
          <w:p w14:paraId="22BD6767">
            <w:pPr>
              <w:widowControl/>
              <w:jc w:val="center"/>
              <w:rPr>
                <w:color w:val="000000"/>
                <w:kern w:val="0"/>
                <w:szCs w:val="21"/>
              </w:rPr>
            </w:pPr>
            <w:r>
              <w:rPr>
                <w:color w:val="000000"/>
                <w:kern w:val="0"/>
                <w:szCs w:val="21"/>
              </w:rPr>
              <w:t>5</w:t>
            </w:r>
          </w:p>
        </w:tc>
        <w:tc>
          <w:tcPr>
            <w:tcW w:w="1080" w:type="dxa"/>
            <w:tcBorders>
              <w:top w:val="nil"/>
              <w:left w:val="nil"/>
              <w:bottom w:val="nil"/>
              <w:right w:val="nil"/>
            </w:tcBorders>
            <w:shd w:val="clear" w:color="auto" w:fill="auto"/>
            <w:noWrap/>
            <w:vAlign w:val="bottom"/>
          </w:tcPr>
          <w:p w14:paraId="5283A475">
            <w:pPr>
              <w:widowControl/>
              <w:jc w:val="center"/>
              <w:rPr>
                <w:color w:val="000000"/>
                <w:kern w:val="0"/>
                <w:szCs w:val="21"/>
              </w:rPr>
            </w:pPr>
            <w:r>
              <w:rPr>
                <w:color w:val="000000"/>
                <w:kern w:val="0"/>
                <w:szCs w:val="21"/>
              </w:rPr>
              <w:t xml:space="preserve">3.94 </w:t>
            </w:r>
          </w:p>
        </w:tc>
      </w:tr>
      <w:tr w14:paraId="17532C10">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68519F0F">
            <w:pPr>
              <w:widowControl/>
              <w:jc w:val="left"/>
              <w:rPr>
                <w:color w:val="000000"/>
                <w:kern w:val="0"/>
                <w:szCs w:val="21"/>
              </w:rPr>
            </w:pPr>
          </w:p>
        </w:tc>
        <w:tc>
          <w:tcPr>
            <w:tcW w:w="1080" w:type="dxa"/>
            <w:vMerge w:val="restart"/>
            <w:tcBorders>
              <w:top w:val="nil"/>
              <w:left w:val="nil"/>
              <w:bottom w:val="single" w:color="000000" w:sz="4" w:space="0"/>
              <w:right w:val="nil"/>
            </w:tcBorders>
            <w:shd w:val="clear" w:color="auto" w:fill="auto"/>
            <w:vAlign w:val="center"/>
          </w:tcPr>
          <w:p w14:paraId="58E1F5FD">
            <w:pPr>
              <w:widowControl/>
              <w:jc w:val="center"/>
              <w:rPr>
                <w:color w:val="000000"/>
                <w:kern w:val="0"/>
                <w:szCs w:val="21"/>
              </w:rPr>
            </w:pPr>
            <w:r>
              <w:rPr>
                <w:color w:val="000000"/>
                <w:kern w:val="0"/>
                <w:szCs w:val="21"/>
              </w:rPr>
              <w:t>2016</w:t>
            </w:r>
            <w:r>
              <w:rPr>
                <w:rFonts w:hAnsi="Calibri"/>
                <w:color w:val="000000"/>
                <w:kern w:val="0"/>
                <w:szCs w:val="21"/>
              </w:rPr>
              <w:t>年</w:t>
            </w:r>
            <w:r>
              <w:rPr>
                <w:color w:val="000000"/>
                <w:kern w:val="0"/>
                <w:szCs w:val="21"/>
              </w:rPr>
              <w:t>1</w:t>
            </w:r>
            <w:r>
              <w:rPr>
                <w:rFonts w:hAnsi="Calibri"/>
                <w:color w:val="000000"/>
                <w:kern w:val="0"/>
                <w:szCs w:val="21"/>
              </w:rPr>
              <w:t>月</w:t>
            </w:r>
          </w:p>
        </w:tc>
        <w:tc>
          <w:tcPr>
            <w:tcW w:w="1080" w:type="dxa"/>
            <w:tcBorders>
              <w:top w:val="nil"/>
              <w:left w:val="nil"/>
              <w:bottom w:val="nil"/>
              <w:right w:val="nil"/>
            </w:tcBorders>
            <w:shd w:val="clear" w:color="auto" w:fill="auto"/>
            <w:vAlign w:val="center"/>
          </w:tcPr>
          <w:p w14:paraId="3EFD72A9">
            <w:pPr>
              <w:widowControl/>
              <w:jc w:val="center"/>
              <w:rPr>
                <w:color w:val="000000"/>
                <w:kern w:val="0"/>
                <w:szCs w:val="21"/>
              </w:rPr>
            </w:pPr>
            <w:r>
              <w:rPr>
                <w:rFonts w:hAnsi="宋体"/>
                <w:color w:val="000000"/>
                <w:kern w:val="0"/>
                <w:szCs w:val="21"/>
              </w:rPr>
              <w:t>奉贤爱森</w:t>
            </w:r>
          </w:p>
        </w:tc>
        <w:tc>
          <w:tcPr>
            <w:tcW w:w="1080" w:type="dxa"/>
            <w:tcBorders>
              <w:top w:val="single" w:color="auto" w:sz="4" w:space="0"/>
              <w:left w:val="nil"/>
              <w:bottom w:val="nil"/>
              <w:right w:val="nil"/>
            </w:tcBorders>
            <w:shd w:val="clear" w:color="auto" w:fill="auto"/>
            <w:noWrap/>
            <w:vAlign w:val="bottom"/>
          </w:tcPr>
          <w:p w14:paraId="0C18542F">
            <w:pPr>
              <w:widowControl/>
              <w:jc w:val="center"/>
              <w:rPr>
                <w:color w:val="000000"/>
                <w:kern w:val="0"/>
                <w:szCs w:val="21"/>
              </w:rPr>
            </w:pPr>
            <w:r>
              <w:rPr>
                <w:color w:val="000000"/>
                <w:kern w:val="0"/>
                <w:szCs w:val="21"/>
              </w:rPr>
              <w:t>30</w:t>
            </w:r>
          </w:p>
        </w:tc>
        <w:tc>
          <w:tcPr>
            <w:tcW w:w="1080" w:type="dxa"/>
            <w:tcBorders>
              <w:top w:val="single" w:color="auto" w:sz="4" w:space="0"/>
              <w:left w:val="nil"/>
              <w:bottom w:val="nil"/>
              <w:right w:val="nil"/>
            </w:tcBorders>
            <w:shd w:val="clear" w:color="auto" w:fill="auto"/>
            <w:noWrap/>
            <w:vAlign w:val="bottom"/>
          </w:tcPr>
          <w:p w14:paraId="592CB2B5">
            <w:pPr>
              <w:widowControl/>
              <w:jc w:val="center"/>
              <w:rPr>
                <w:color w:val="000000"/>
                <w:kern w:val="0"/>
                <w:szCs w:val="21"/>
              </w:rPr>
            </w:pPr>
            <w:r>
              <w:rPr>
                <w:color w:val="000000"/>
                <w:kern w:val="0"/>
                <w:szCs w:val="21"/>
              </w:rPr>
              <w:t>0</w:t>
            </w:r>
          </w:p>
        </w:tc>
        <w:tc>
          <w:tcPr>
            <w:tcW w:w="1080" w:type="dxa"/>
            <w:tcBorders>
              <w:top w:val="single" w:color="auto" w:sz="4" w:space="0"/>
              <w:left w:val="nil"/>
              <w:bottom w:val="nil"/>
              <w:right w:val="nil"/>
            </w:tcBorders>
            <w:shd w:val="clear" w:color="auto" w:fill="auto"/>
            <w:noWrap/>
            <w:vAlign w:val="bottom"/>
          </w:tcPr>
          <w:p w14:paraId="159C2A52">
            <w:pPr>
              <w:widowControl/>
              <w:jc w:val="center"/>
              <w:rPr>
                <w:color w:val="000000"/>
                <w:kern w:val="0"/>
                <w:szCs w:val="21"/>
              </w:rPr>
            </w:pPr>
            <w:r>
              <w:rPr>
                <w:color w:val="000000"/>
                <w:kern w:val="0"/>
                <w:szCs w:val="21"/>
              </w:rPr>
              <w:t xml:space="preserve">0.00 </w:t>
            </w:r>
          </w:p>
        </w:tc>
      </w:tr>
      <w:tr w14:paraId="55D32C87">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2173C1C7">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799E697F">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281E8465">
            <w:pPr>
              <w:widowControl/>
              <w:jc w:val="center"/>
              <w:rPr>
                <w:color w:val="000000"/>
                <w:kern w:val="0"/>
                <w:szCs w:val="21"/>
              </w:rPr>
            </w:pPr>
            <w:r>
              <w:rPr>
                <w:rFonts w:hAnsi="宋体"/>
                <w:color w:val="000000"/>
                <w:kern w:val="0"/>
                <w:szCs w:val="21"/>
              </w:rPr>
              <w:t>嘉定五丰</w:t>
            </w:r>
          </w:p>
        </w:tc>
        <w:tc>
          <w:tcPr>
            <w:tcW w:w="1080" w:type="dxa"/>
            <w:tcBorders>
              <w:top w:val="nil"/>
              <w:left w:val="nil"/>
              <w:bottom w:val="nil"/>
              <w:right w:val="nil"/>
            </w:tcBorders>
            <w:shd w:val="clear" w:color="auto" w:fill="auto"/>
            <w:noWrap/>
            <w:vAlign w:val="bottom"/>
          </w:tcPr>
          <w:p w14:paraId="00955780">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0634E9CC">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1618B294">
            <w:pPr>
              <w:widowControl/>
              <w:jc w:val="center"/>
              <w:rPr>
                <w:color w:val="000000"/>
                <w:kern w:val="0"/>
                <w:szCs w:val="21"/>
              </w:rPr>
            </w:pPr>
            <w:r>
              <w:rPr>
                <w:color w:val="000000"/>
                <w:kern w:val="0"/>
                <w:szCs w:val="21"/>
              </w:rPr>
              <w:t xml:space="preserve">0.00 </w:t>
            </w:r>
          </w:p>
        </w:tc>
      </w:tr>
      <w:tr w14:paraId="3C41F23E">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0BB142EF">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5F488E5E">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76140ECA">
            <w:pPr>
              <w:widowControl/>
              <w:jc w:val="center"/>
              <w:rPr>
                <w:color w:val="000000"/>
                <w:kern w:val="0"/>
                <w:szCs w:val="21"/>
              </w:rPr>
            </w:pPr>
            <w:r>
              <w:rPr>
                <w:rFonts w:hAnsi="宋体"/>
                <w:color w:val="000000"/>
                <w:kern w:val="0"/>
                <w:szCs w:val="21"/>
              </w:rPr>
              <w:t>农贸市场</w:t>
            </w:r>
          </w:p>
        </w:tc>
        <w:tc>
          <w:tcPr>
            <w:tcW w:w="1080" w:type="dxa"/>
            <w:tcBorders>
              <w:top w:val="nil"/>
              <w:left w:val="nil"/>
              <w:bottom w:val="nil"/>
              <w:right w:val="nil"/>
            </w:tcBorders>
            <w:shd w:val="clear" w:color="auto" w:fill="auto"/>
            <w:noWrap/>
            <w:vAlign w:val="bottom"/>
          </w:tcPr>
          <w:p w14:paraId="182C631E">
            <w:pPr>
              <w:widowControl/>
              <w:jc w:val="center"/>
              <w:rPr>
                <w:color w:val="000000"/>
                <w:kern w:val="0"/>
                <w:szCs w:val="21"/>
              </w:rPr>
            </w:pPr>
            <w:r>
              <w:rPr>
                <w:color w:val="000000"/>
                <w:kern w:val="0"/>
                <w:szCs w:val="21"/>
              </w:rPr>
              <w:t>42</w:t>
            </w:r>
          </w:p>
        </w:tc>
        <w:tc>
          <w:tcPr>
            <w:tcW w:w="1080" w:type="dxa"/>
            <w:tcBorders>
              <w:top w:val="nil"/>
              <w:left w:val="nil"/>
              <w:bottom w:val="nil"/>
              <w:right w:val="nil"/>
            </w:tcBorders>
            <w:shd w:val="clear" w:color="auto" w:fill="auto"/>
            <w:noWrap/>
            <w:vAlign w:val="bottom"/>
          </w:tcPr>
          <w:p w14:paraId="7C3634EC">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4FA6B17F">
            <w:pPr>
              <w:widowControl/>
              <w:jc w:val="center"/>
              <w:rPr>
                <w:color w:val="000000"/>
                <w:kern w:val="0"/>
                <w:szCs w:val="21"/>
              </w:rPr>
            </w:pPr>
            <w:r>
              <w:rPr>
                <w:color w:val="000000"/>
                <w:kern w:val="0"/>
                <w:szCs w:val="21"/>
              </w:rPr>
              <w:t xml:space="preserve">0.00 </w:t>
            </w:r>
          </w:p>
        </w:tc>
      </w:tr>
      <w:tr w14:paraId="3D3EAF8B">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7310D057">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3E989614">
            <w:pPr>
              <w:widowControl/>
              <w:jc w:val="left"/>
              <w:rPr>
                <w:color w:val="000000"/>
                <w:kern w:val="0"/>
                <w:szCs w:val="21"/>
              </w:rPr>
            </w:pPr>
          </w:p>
        </w:tc>
        <w:tc>
          <w:tcPr>
            <w:tcW w:w="1080" w:type="dxa"/>
            <w:tcBorders>
              <w:top w:val="nil"/>
              <w:left w:val="nil"/>
              <w:bottom w:val="single" w:color="auto" w:sz="4" w:space="0"/>
              <w:right w:val="nil"/>
            </w:tcBorders>
            <w:shd w:val="clear" w:color="auto" w:fill="auto"/>
            <w:vAlign w:val="center"/>
          </w:tcPr>
          <w:p w14:paraId="5E6D5785">
            <w:pPr>
              <w:widowControl/>
              <w:jc w:val="center"/>
              <w:rPr>
                <w:color w:val="000000"/>
                <w:kern w:val="0"/>
                <w:szCs w:val="21"/>
              </w:rPr>
            </w:pPr>
            <w:r>
              <w:rPr>
                <w:rFonts w:hAnsi="宋体"/>
                <w:color w:val="000000"/>
                <w:kern w:val="0"/>
                <w:szCs w:val="21"/>
              </w:rPr>
              <w:t>小计</w:t>
            </w:r>
          </w:p>
        </w:tc>
        <w:tc>
          <w:tcPr>
            <w:tcW w:w="1080" w:type="dxa"/>
            <w:tcBorders>
              <w:top w:val="nil"/>
              <w:left w:val="nil"/>
              <w:bottom w:val="nil"/>
              <w:right w:val="nil"/>
            </w:tcBorders>
            <w:shd w:val="clear" w:color="auto" w:fill="auto"/>
            <w:noWrap/>
            <w:vAlign w:val="bottom"/>
          </w:tcPr>
          <w:p w14:paraId="71D81001">
            <w:pPr>
              <w:widowControl/>
              <w:jc w:val="center"/>
              <w:rPr>
                <w:color w:val="000000"/>
                <w:kern w:val="0"/>
                <w:szCs w:val="21"/>
              </w:rPr>
            </w:pPr>
            <w:r>
              <w:rPr>
                <w:color w:val="000000"/>
                <w:kern w:val="0"/>
                <w:szCs w:val="21"/>
              </w:rPr>
              <w:t>102</w:t>
            </w:r>
          </w:p>
        </w:tc>
        <w:tc>
          <w:tcPr>
            <w:tcW w:w="1080" w:type="dxa"/>
            <w:tcBorders>
              <w:top w:val="nil"/>
              <w:left w:val="nil"/>
              <w:bottom w:val="nil"/>
              <w:right w:val="nil"/>
            </w:tcBorders>
            <w:shd w:val="clear" w:color="auto" w:fill="auto"/>
            <w:noWrap/>
            <w:vAlign w:val="bottom"/>
          </w:tcPr>
          <w:p w14:paraId="3C92E9FD">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0D4977F6">
            <w:pPr>
              <w:widowControl/>
              <w:jc w:val="center"/>
              <w:rPr>
                <w:color w:val="000000"/>
                <w:kern w:val="0"/>
                <w:szCs w:val="21"/>
              </w:rPr>
            </w:pPr>
            <w:r>
              <w:rPr>
                <w:color w:val="000000"/>
                <w:kern w:val="0"/>
                <w:szCs w:val="21"/>
              </w:rPr>
              <w:t xml:space="preserve">0.00 </w:t>
            </w:r>
          </w:p>
        </w:tc>
      </w:tr>
      <w:tr w14:paraId="6D7151EA">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236ACC0A">
            <w:pPr>
              <w:widowControl/>
              <w:jc w:val="left"/>
              <w:rPr>
                <w:color w:val="000000"/>
                <w:kern w:val="0"/>
                <w:szCs w:val="21"/>
              </w:rPr>
            </w:pPr>
          </w:p>
        </w:tc>
        <w:tc>
          <w:tcPr>
            <w:tcW w:w="1080" w:type="dxa"/>
            <w:vMerge w:val="restart"/>
            <w:tcBorders>
              <w:top w:val="nil"/>
              <w:left w:val="nil"/>
              <w:bottom w:val="single" w:color="000000" w:sz="4" w:space="0"/>
              <w:right w:val="nil"/>
            </w:tcBorders>
            <w:shd w:val="clear" w:color="auto" w:fill="auto"/>
            <w:vAlign w:val="center"/>
          </w:tcPr>
          <w:p w14:paraId="6A88D9DA">
            <w:pPr>
              <w:widowControl/>
              <w:jc w:val="center"/>
              <w:rPr>
                <w:color w:val="000000"/>
                <w:kern w:val="0"/>
                <w:szCs w:val="21"/>
              </w:rPr>
            </w:pPr>
            <w:r>
              <w:rPr>
                <w:color w:val="000000"/>
                <w:kern w:val="0"/>
                <w:szCs w:val="21"/>
              </w:rPr>
              <w:t>2016年7月</w:t>
            </w:r>
          </w:p>
        </w:tc>
        <w:tc>
          <w:tcPr>
            <w:tcW w:w="1080" w:type="dxa"/>
            <w:tcBorders>
              <w:top w:val="nil"/>
              <w:left w:val="nil"/>
              <w:bottom w:val="nil"/>
              <w:right w:val="nil"/>
            </w:tcBorders>
            <w:shd w:val="clear" w:color="auto" w:fill="auto"/>
            <w:vAlign w:val="center"/>
          </w:tcPr>
          <w:p w14:paraId="74C5F11C">
            <w:pPr>
              <w:widowControl/>
              <w:jc w:val="center"/>
              <w:rPr>
                <w:color w:val="000000"/>
                <w:kern w:val="0"/>
                <w:szCs w:val="21"/>
              </w:rPr>
            </w:pPr>
            <w:r>
              <w:rPr>
                <w:rFonts w:hAnsi="宋体"/>
                <w:color w:val="000000"/>
                <w:kern w:val="0"/>
                <w:szCs w:val="21"/>
              </w:rPr>
              <w:t>奉贤爱森</w:t>
            </w:r>
          </w:p>
        </w:tc>
        <w:tc>
          <w:tcPr>
            <w:tcW w:w="1080" w:type="dxa"/>
            <w:tcBorders>
              <w:top w:val="single" w:color="auto" w:sz="4" w:space="0"/>
              <w:left w:val="nil"/>
              <w:bottom w:val="nil"/>
              <w:right w:val="nil"/>
            </w:tcBorders>
            <w:shd w:val="clear" w:color="auto" w:fill="auto"/>
            <w:noWrap/>
            <w:vAlign w:val="bottom"/>
          </w:tcPr>
          <w:p w14:paraId="2EF9043E">
            <w:pPr>
              <w:widowControl/>
              <w:jc w:val="center"/>
              <w:rPr>
                <w:color w:val="000000"/>
                <w:kern w:val="0"/>
                <w:szCs w:val="21"/>
              </w:rPr>
            </w:pPr>
            <w:r>
              <w:rPr>
                <w:color w:val="000000"/>
                <w:kern w:val="0"/>
                <w:szCs w:val="21"/>
              </w:rPr>
              <w:t>30</w:t>
            </w:r>
          </w:p>
        </w:tc>
        <w:tc>
          <w:tcPr>
            <w:tcW w:w="1080" w:type="dxa"/>
            <w:tcBorders>
              <w:top w:val="single" w:color="auto" w:sz="4" w:space="0"/>
              <w:left w:val="nil"/>
              <w:bottom w:val="nil"/>
              <w:right w:val="nil"/>
            </w:tcBorders>
            <w:shd w:val="clear" w:color="auto" w:fill="auto"/>
            <w:noWrap/>
            <w:vAlign w:val="bottom"/>
          </w:tcPr>
          <w:p w14:paraId="7776BD4E">
            <w:pPr>
              <w:widowControl/>
              <w:jc w:val="center"/>
              <w:rPr>
                <w:color w:val="000000"/>
                <w:kern w:val="0"/>
                <w:szCs w:val="21"/>
              </w:rPr>
            </w:pPr>
            <w:r>
              <w:rPr>
                <w:color w:val="000000"/>
                <w:kern w:val="0"/>
                <w:szCs w:val="21"/>
              </w:rPr>
              <w:t>0</w:t>
            </w:r>
          </w:p>
        </w:tc>
        <w:tc>
          <w:tcPr>
            <w:tcW w:w="1080" w:type="dxa"/>
            <w:tcBorders>
              <w:top w:val="single" w:color="auto" w:sz="4" w:space="0"/>
              <w:left w:val="nil"/>
              <w:bottom w:val="nil"/>
              <w:right w:val="nil"/>
            </w:tcBorders>
            <w:shd w:val="clear" w:color="auto" w:fill="auto"/>
            <w:noWrap/>
            <w:vAlign w:val="bottom"/>
          </w:tcPr>
          <w:p w14:paraId="624227C6">
            <w:pPr>
              <w:widowControl/>
              <w:jc w:val="center"/>
              <w:rPr>
                <w:color w:val="000000"/>
                <w:kern w:val="0"/>
                <w:szCs w:val="21"/>
              </w:rPr>
            </w:pPr>
            <w:r>
              <w:rPr>
                <w:color w:val="000000"/>
                <w:kern w:val="0"/>
                <w:szCs w:val="21"/>
              </w:rPr>
              <w:t xml:space="preserve">0.00 </w:t>
            </w:r>
          </w:p>
        </w:tc>
      </w:tr>
      <w:tr w14:paraId="264F90FC">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17A9CFF2">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68B0E478">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3FDC23A2">
            <w:pPr>
              <w:widowControl/>
              <w:jc w:val="center"/>
              <w:rPr>
                <w:color w:val="000000"/>
                <w:kern w:val="0"/>
                <w:szCs w:val="21"/>
              </w:rPr>
            </w:pPr>
            <w:r>
              <w:rPr>
                <w:rFonts w:hAnsi="宋体"/>
                <w:color w:val="000000"/>
                <w:kern w:val="0"/>
                <w:szCs w:val="21"/>
              </w:rPr>
              <w:t>嘉定五丰</w:t>
            </w:r>
          </w:p>
        </w:tc>
        <w:tc>
          <w:tcPr>
            <w:tcW w:w="1080" w:type="dxa"/>
            <w:tcBorders>
              <w:top w:val="nil"/>
              <w:left w:val="nil"/>
              <w:bottom w:val="nil"/>
              <w:right w:val="nil"/>
            </w:tcBorders>
            <w:shd w:val="clear" w:color="auto" w:fill="auto"/>
            <w:noWrap/>
            <w:vAlign w:val="bottom"/>
          </w:tcPr>
          <w:p w14:paraId="5EA7CCE7">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0054F238">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2F088018">
            <w:pPr>
              <w:widowControl/>
              <w:jc w:val="center"/>
              <w:rPr>
                <w:color w:val="000000"/>
                <w:kern w:val="0"/>
                <w:szCs w:val="21"/>
              </w:rPr>
            </w:pPr>
            <w:r>
              <w:rPr>
                <w:color w:val="000000"/>
                <w:kern w:val="0"/>
                <w:szCs w:val="21"/>
              </w:rPr>
              <w:t xml:space="preserve">0.00 </w:t>
            </w:r>
          </w:p>
        </w:tc>
      </w:tr>
      <w:tr w14:paraId="39B48F76">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71D35F6D">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55965E92">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0DF94B5A">
            <w:pPr>
              <w:widowControl/>
              <w:jc w:val="center"/>
              <w:rPr>
                <w:color w:val="000000"/>
                <w:kern w:val="0"/>
                <w:szCs w:val="21"/>
              </w:rPr>
            </w:pPr>
            <w:r>
              <w:rPr>
                <w:rFonts w:hAnsi="宋体"/>
                <w:color w:val="000000"/>
                <w:kern w:val="0"/>
                <w:szCs w:val="21"/>
              </w:rPr>
              <w:t>嘉定裕农</w:t>
            </w:r>
          </w:p>
        </w:tc>
        <w:tc>
          <w:tcPr>
            <w:tcW w:w="1080" w:type="dxa"/>
            <w:tcBorders>
              <w:top w:val="nil"/>
              <w:left w:val="nil"/>
              <w:bottom w:val="nil"/>
              <w:right w:val="nil"/>
            </w:tcBorders>
            <w:shd w:val="clear" w:color="auto" w:fill="auto"/>
            <w:noWrap/>
            <w:vAlign w:val="bottom"/>
          </w:tcPr>
          <w:p w14:paraId="7380BACC">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54C425F1">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3AF60F90">
            <w:pPr>
              <w:widowControl/>
              <w:jc w:val="center"/>
              <w:rPr>
                <w:color w:val="000000"/>
                <w:kern w:val="0"/>
                <w:szCs w:val="21"/>
              </w:rPr>
            </w:pPr>
            <w:r>
              <w:rPr>
                <w:color w:val="000000"/>
                <w:kern w:val="0"/>
                <w:szCs w:val="21"/>
              </w:rPr>
              <w:t xml:space="preserve">0.00 </w:t>
            </w:r>
          </w:p>
        </w:tc>
      </w:tr>
      <w:tr w14:paraId="50140CF8">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12168B0B">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5363AB5F">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35B27D48">
            <w:pPr>
              <w:widowControl/>
              <w:jc w:val="center"/>
              <w:rPr>
                <w:color w:val="000000"/>
                <w:kern w:val="0"/>
                <w:szCs w:val="21"/>
              </w:rPr>
            </w:pPr>
            <w:r>
              <w:rPr>
                <w:rFonts w:hAnsi="宋体"/>
                <w:color w:val="000000"/>
                <w:kern w:val="0"/>
                <w:szCs w:val="21"/>
              </w:rPr>
              <w:t>农贸市场</w:t>
            </w:r>
          </w:p>
        </w:tc>
        <w:tc>
          <w:tcPr>
            <w:tcW w:w="1080" w:type="dxa"/>
            <w:tcBorders>
              <w:top w:val="nil"/>
              <w:left w:val="nil"/>
              <w:bottom w:val="nil"/>
              <w:right w:val="nil"/>
            </w:tcBorders>
            <w:shd w:val="clear" w:color="auto" w:fill="auto"/>
            <w:noWrap/>
            <w:vAlign w:val="bottom"/>
          </w:tcPr>
          <w:p w14:paraId="13F70FDE">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5FD14C5B">
            <w:pPr>
              <w:widowControl/>
              <w:jc w:val="center"/>
              <w:rPr>
                <w:color w:val="000000"/>
                <w:kern w:val="0"/>
                <w:szCs w:val="21"/>
              </w:rPr>
            </w:pPr>
            <w:r>
              <w:rPr>
                <w:color w:val="000000"/>
                <w:kern w:val="0"/>
                <w:szCs w:val="21"/>
              </w:rPr>
              <w:t>1</w:t>
            </w:r>
          </w:p>
        </w:tc>
        <w:tc>
          <w:tcPr>
            <w:tcW w:w="1080" w:type="dxa"/>
            <w:tcBorders>
              <w:top w:val="nil"/>
              <w:left w:val="nil"/>
              <w:bottom w:val="nil"/>
              <w:right w:val="nil"/>
            </w:tcBorders>
            <w:shd w:val="clear" w:color="auto" w:fill="auto"/>
            <w:noWrap/>
            <w:vAlign w:val="bottom"/>
          </w:tcPr>
          <w:p w14:paraId="2263B09A">
            <w:pPr>
              <w:widowControl/>
              <w:jc w:val="center"/>
              <w:rPr>
                <w:color w:val="000000"/>
                <w:kern w:val="0"/>
                <w:szCs w:val="21"/>
              </w:rPr>
            </w:pPr>
            <w:r>
              <w:rPr>
                <w:color w:val="000000"/>
                <w:kern w:val="0"/>
                <w:szCs w:val="21"/>
              </w:rPr>
              <w:t xml:space="preserve">3.33 </w:t>
            </w:r>
          </w:p>
        </w:tc>
      </w:tr>
      <w:tr w14:paraId="17190377">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6C5983B8">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1486FDDA">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1DC9565A">
            <w:pPr>
              <w:widowControl/>
              <w:jc w:val="center"/>
              <w:rPr>
                <w:color w:val="000000"/>
                <w:kern w:val="0"/>
                <w:szCs w:val="21"/>
              </w:rPr>
            </w:pPr>
            <w:r>
              <w:rPr>
                <w:rFonts w:hAnsi="宋体"/>
                <w:color w:val="000000"/>
                <w:kern w:val="0"/>
                <w:szCs w:val="21"/>
              </w:rPr>
              <w:t>超市</w:t>
            </w:r>
          </w:p>
        </w:tc>
        <w:tc>
          <w:tcPr>
            <w:tcW w:w="1080" w:type="dxa"/>
            <w:tcBorders>
              <w:top w:val="nil"/>
              <w:left w:val="nil"/>
              <w:bottom w:val="nil"/>
              <w:right w:val="nil"/>
            </w:tcBorders>
            <w:shd w:val="clear" w:color="auto" w:fill="auto"/>
            <w:noWrap/>
            <w:vAlign w:val="bottom"/>
          </w:tcPr>
          <w:p w14:paraId="25282D55">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2E2C41D0">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11CE5E08">
            <w:pPr>
              <w:widowControl/>
              <w:jc w:val="center"/>
              <w:rPr>
                <w:color w:val="000000"/>
                <w:kern w:val="0"/>
                <w:szCs w:val="21"/>
              </w:rPr>
            </w:pPr>
            <w:r>
              <w:rPr>
                <w:color w:val="000000"/>
                <w:kern w:val="0"/>
                <w:szCs w:val="21"/>
              </w:rPr>
              <w:t xml:space="preserve">0.00 </w:t>
            </w:r>
          </w:p>
        </w:tc>
      </w:tr>
      <w:tr w14:paraId="5D7A71A6">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666AD3A5">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092D9C4F">
            <w:pPr>
              <w:widowControl/>
              <w:jc w:val="left"/>
              <w:rPr>
                <w:color w:val="000000"/>
                <w:kern w:val="0"/>
                <w:szCs w:val="21"/>
              </w:rPr>
            </w:pPr>
          </w:p>
        </w:tc>
        <w:tc>
          <w:tcPr>
            <w:tcW w:w="1080" w:type="dxa"/>
            <w:tcBorders>
              <w:top w:val="nil"/>
              <w:left w:val="nil"/>
              <w:bottom w:val="single" w:color="auto" w:sz="4" w:space="0"/>
              <w:right w:val="nil"/>
            </w:tcBorders>
            <w:shd w:val="clear" w:color="auto" w:fill="auto"/>
            <w:vAlign w:val="center"/>
          </w:tcPr>
          <w:p w14:paraId="29C94208">
            <w:pPr>
              <w:widowControl/>
              <w:jc w:val="center"/>
              <w:rPr>
                <w:b/>
                <w:bCs/>
                <w:color w:val="000000"/>
                <w:kern w:val="0"/>
                <w:szCs w:val="21"/>
              </w:rPr>
            </w:pPr>
            <w:r>
              <w:rPr>
                <w:rFonts w:hAnsi="宋体"/>
                <w:b/>
                <w:bCs/>
                <w:color w:val="000000"/>
                <w:kern w:val="0"/>
                <w:szCs w:val="21"/>
              </w:rPr>
              <w:t>小计</w:t>
            </w:r>
          </w:p>
        </w:tc>
        <w:tc>
          <w:tcPr>
            <w:tcW w:w="1080" w:type="dxa"/>
            <w:tcBorders>
              <w:top w:val="nil"/>
              <w:left w:val="nil"/>
              <w:bottom w:val="single" w:color="auto" w:sz="4" w:space="0"/>
              <w:right w:val="nil"/>
            </w:tcBorders>
            <w:shd w:val="clear" w:color="auto" w:fill="auto"/>
            <w:noWrap/>
            <w:vAlign w:val="bottom"/>
          </w:tcPr>
          <w:p w14:paraId="1C50EC1C">
            <w:pPr>
              <w:widowControl/>
              <w:jc w:val="center"/>
              <w:rPr>
                <w:color w:val="000000"/>
                <w:kern w:val="0"/>
                <w:szCs w:val="21"/>
              </w:rPr>
            </w:pPr>
            <w:r>
              <w:rPr>
                <w:color w:val="000000"/>
                <w:kern w:val="0"/>
                <w:szCs w:val="21"/>
              </w:rPr>
              <w:t>150</w:t>
            </w:r>
          </w:p>
        </w:tc>
        <w:tc>
          <w:tcPr>
            <w:tcW w:w="1080" w:type="dxa"/>
            <w:tcBorders>
              <w:top w:val="nil"/>
              <w:left w:val="nil"/>
              <w:bottom w:val="single" w:color="auto" w:sz="4" w:space="0"/>
              <w:right w:val="nil"/>
            </w:tcBorders>
            <w:shd w:val="clear" w:color="auto" w:fill="auto"/>
            <w:noWrap/>
            <w:vAlign w:val="bottom"/>
          </w:tcPr>
          <w:p w14:paraId="02F75E38">
            <w:pPr>
              <w:widowControl/>
              <w:jc w:val="center"/>
              <w:rPr>
                <w:color w:val="000000"/>
                <w:kern w:val="0"/>
                <w:szCs w:val="21"/>
              </w:rPr>
            </w:pPr>
            <w:r>
              <w:rPr>
                <w:color w:val="000000"/>
                <w:kern w:val="0"/>
                <w:szCs w:val="21"/>
              </w:rPr>
              <w:t>1</w:t>
            </w:r>
          </w:p>
        </w:tc>
        <w:tc>
          <w:tcPr>
            <w:tcW w:w="1080" w:type="dxa"/>
            <w:tcBorders>
              <w:top w:val="nil"/>
              <w:left w:val="nil"/>
              <w:bottom w:val="single" w:color="auto" w:sz="4" w:space="0"/>
              <w:right w:val="nil"/>
            </w:tcBorders>
            <w:shd w:val="clear" w:color="auto" w:fill="auto"/>
            <w:noWrap/>
            <w:vAlign w:val="bottom"/>
          </w:tcPr>
          <w:p w14:paraId="2FAA63E0">
            <w:pPr>
              <w:widowControl/>
              <w:jc w:val="center"/>
              <w:rPr>
                <w:color w:val="000000"/>
                <w:kern w:val="0"/>
                <w:szCs w:val="21"/>
              </w:rPr>
            </w:pPr>
            <w:r>
              <w:rPr>
                <w:color w:val="000000"/>
                <w:kern w:val="0"/>
                <w:szCs w:val="21"/>
              </w:rPr>
              <w:t xml:space="preserve">0.67 </w:t>
            </w:r>
          </w:p>
        </w:tc>
      </w:tr>
      <w:tr w14:paraId="1FA547D8">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777C9C5C">
            <w:pPr>
              <w:widowControl/>
              <w:jc w:val="left"/>
              <w:rPr>
                <w:color w:val="000000"/>
                <w:kern w:val="0"/>
                <w:szCs w:val="21"/>
              </w:rPr>
            </w:pPr>
          </w:p>
        </w:tc>
        <w:tc>
          <w:tcPr>
            <w:tcW w:w="1080" w:type="dxa"/>
            <w:vMerge w:val="restart"/>
            <w:tcBorders>
              <w:top w:val="nil"/>
              <w:left w:val="nil"/>
              <w:bottom w:val="nil"/>
              <w:right w:val="nil"/>
            </w:tcBorders>
            <w:shd w:val="clear" w:color="auto" w:fill="auto"/>
            <w:vAlign w:val="center"/>
          </w:tcPr>
          <w:p w14:paraId="4FF534BD">
            <w:pPr>
              <w:widowControl/>
              <w:jc w:val="center"/>
              <w:rPr>
                <w:color w:val="000000"/>
                <w:kern w:val="0"/>
                <w:szCs w:val="21"/>
              </w:rPr>
            </w:pPr>
            <w:r>
              <w:rPr>
                <w:color w:val="000000"/>
                <w:kern w:val="0"/>
                <w:szCs w:val="21"/>
              </w:rPr>
              <w:t>2016年10月</w:t>
            </w:r>
          </w:p>
        </w:tc>
        <w:tc>
          <w:tcPr>
            <w:tcW w:w="1080" w:type="dxa"/>
            <w:tcBorders>
              <w:top w:val="nil"/>
              <w:left w:val="nil"/>
              <w:bottom w:val="nil"/>
              <w:right w:val="nil"/>
            </w:tcBorders>
            <w:shd w:val="clear" w:color="auto" w:fill="auto"/>
            <w:vAlign w:val="center"/>
          </w:tcPr>
          <w:p w14:paraId="0961417B">
            <w:pPr>
              <w:widowControl/>
              <w:jc w:val="center"/>
              <w:rPr>
                <w:color w:val="000000"/>
                <w:kern w:val="0"/>
                <w:szCs w:val="21"/>
              </w:rPr>
            </w:pPr>
            <w:r>
              <w:rPr>
                <w:rFonts w:hAnsi="宋体"/>
                <w:color w:val="000000"/>
                <w:kern w:val="0"/>
                <w:szCs w:val="21"/>
              </w:rPr>
              <w:t>奉贤爱森</w:t>
            </w:r>
          </w:p>
        </w:tc>
        <w:tc>
          <w:tcPr>
            <w:tcW w:w="1080" w:type="dxa"/>
            <w:tcBorders>
              <w:top w:val="nil"/>
              <w:left w:val="nil"/>
              <w:bottom w:val="nil"/>
              <w:right w:val="nil"/>
            </w:tcBorders>
            <w:shd w:val="clear" w:color="auto" w:fill="auto"/>
            <w:noWrap/>
            <w:vAlign w:val="bottom"/>
          </w:tcPr>
          <w:p w14:paraId="721465A0">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12E60FD5">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3CBF4715">
            <w:pPr>
              <w:widowControl/>
              <w:jc w:val="center"/>
              <w:rPr>
                <w:color w:val="000000"/>
                <w:kern w:val="0"/>
                <w:szCs w:val="21"/>
              </w:rPr>
            </w:pPr>
            <w:r>
              <w:rPr>
                <w:color w:val="000000"/>
                <w:kern w:val="0"/>
                <w:szCs w:val="21"/>
              </w:rPr>
              <w:t xml:space="preserve">0.00 </w:t>
            </w:r>
          </w:p>
        </w:tc>
      </w:tr>
      <w:tr w14:paraId="7A6BB63A">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530B90A1">
            <w:pPr>
              <w:widowControl/>
              <w:jc w:val="left"/>
              <w:rPr>
                <w:color w:val="000000"/>
                <w:kern w:val="0"/>
                <w:szCs w:val="21"/>
              </w:rPr>
            </w:pPr>
          </w:p>
        </w:tc>
        <w:tc>
          <w:tcPr>
            <w:tcW w:w="1080" w:type="dxa"/>
            <w:vMerge w:val="continue"/>
            <w:tcBorders>
              <w:top w:val="nil"/>
              <w:left w:val="nil"/>
              <w:bottom w:val="nil"/>
              <w:right w:val="nil"/>
            </w:tcBorders>
            <w:vAlign w:val="center"/>
          </w:tcPr>
          <w:p w14:paraId="25A8CD0D">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421E41B5">
            <w:pPr>
              <w:widowControl/>
              <w:jc w:val="center"/>
              <w:rPr>
                <w:color w:val="000000"/>
                <w:kern w:val="0"/>
                <w:szCs w:val="21"/>
              </w:rPr>
            </w:pPr>
            <w:r>
              <w:rPr>
                <w:rFonts w:hAnsi="宋体"/>
                <w:color w:val="000000"/>
                <w:kern w:val="0"/>
                <w:szCs w:val="21"/>
              </w:rPr>
              <w:t>嘉定五丰</w:t>
            </w:r>
          </w:p>
        </w:tc>
        <w:tc>
          <w:tcPr>
            <w:tcW w:w="1080" w:type="dxa"/>
            <w:tcBorders>
              <w:top w:val="nil"/>
              <w:left w:val="nil"/>
              <w:bottom w:val="nil"/>
              <w:right w:val="nil"/>
            </w:tcBorders>
            <w:shd w:val="clear" w:color="auto" w:fill="auto"/>
            <w:noWrap/>
            <w:vAlign w:val="bottom"/>
          </w:tcPr>
          <w:p w14:paraId="7F063487">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06C93A45">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25474936">
            <w:pPr>
              <w:widowControl/>
              <w:jc w:val="center"/>
              <w:rPr>
                <w:color w:val="000000"/>
                <w:kern w:val="0"/>
                <w:szCs w:val="21"/>
              </w:rPr>
            </w:pPr>
            <w:r>
              <w:rPr>
                <w:color w:val="000000"/>
                <w:kern w:val="0"/>
                <w:szCs w:val="21"/>
              </w:rPr>
              <w:t xml:space="preserve">0.00 </w:t>
            </w:r>
          </w:p>
        </w:tc>
      </w:tr>
      <w:tr w14:paraId="79051D60">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2E816853">
            <w:pPr>
              <w:widowControl/>
              <w:jc w:val="left"/>
              <w:rPr>
                <w:color w:val="000000"/>
                <w:kern w:val="0"/>
                <w:szCs w:val="21"/>
              </w:rPr>
            </w:pPr>
          </w:p>
        </w:tc>
        <w:tc>
          <w:tcPr>
            <w:tcW w:w="1080" w:type="dxa"/>
            <w:vMerge w:val="continue"/>
            <w:tcBorders>
              <w:top w:val="nil"/>
              <w:left w:val="nil"/>
              <w:bottom w:val="nil"/>
              <w:right w:val="nil"/>
            </w:tcBorders>
            <w:vAlign w:val="center"/>
          </w:tcPr>
          <w:p w14:paraId="01A49530">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6830AB37">
            <w:pPr>
              <w:widowControl/>
              <w:jc w:val="center"/>
              <w:rPr>
                <w:color w:val="000000"/>
                <w:kern w:val="0"/>
                <w:szCs w:val="21"/>
              </w:rPr>
            </w:pPr>
            <w:r>
              <w:rPr>
                <w:rFonts w:hAnsi="宋体"/>
                <w:color w:val="000000"/>
                <w:kern w:val="0"/>
                <w:szCs w:val="21"/>
              </w:rPr>
              <w:t>奉贤深蓝</w:t>
            </w:r>
          </w:p>
        </w:tc>
        <w:tc>
          <w:tcPr>
            <w:tcW w:w="1080" w:type="dxa"/>
            <w:tcBorders>
              <w:top w:val="nil"/>
              <w:left w:val="nil"/>
              <w:bottom w:val="nil"/>
              <w:right w:val="nil"/>
            </w:tcBorders>
            <w:shd w:val="clear" w:color="auto" w:fill="auto"/>
            <w:noWrap/>
            <w:vAlign w:val="bottom"/>
          </w:tcPr>
          <w:p w14:paraId="5FC48CD2">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3DF4859E">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23C6DC0B">
            <w:pPr>
              <w:widowControl/>
              <w:jc w:val="center"/>
              <w:rPr>
                <w:color w:val="000000"/>
                <w:kern w:val="0"/>
                <w:szCs w:val="21"/>
              </w:rPr>
            </w:pPr>
            <w:r>
              <w:rPr>
                <w:color w:val="000000"/>
                <w:kern w:val="0"/>
                <w:szCs w:val="21"/>
              </w:rPr>
              <w:t xml:space="preserve">0.00 </w:t>
            </w:r>
          </w:p>
        </w:tc>
      </w:tr>
      <w:tr w14:paraId="4E3384FC">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62815A21">
            <w:pPr>
              <w:widowControl/>
              <w:jc w:val="left"/>
              <w:rPr>
                <w:color w:val="000000"/>
                <w:kern w:val="0"/>
                <w:szCs w:val="21"/>
              </w:rPr>
            </w:pPr>
          </w:p>
        </w:tc>
        <w:tc>
          <w:tcPr>
            <w:tcW w:w="1080" w:type="dxa"/>
            <w:vMerge w:val="continue"/>
            <w:tcBorders>
              <w:top w:val="nil"/>
              <w:left w:val="nil"/>
              <w:bottom w:val="nil"/>
              <w:right w:val="nil"/>
            </w:tcBorders>
            <w:vAlign w:val="center"/>
          </w:tcPr>
          <w:p w14:paraId="0CC592FC">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482C4CCB">
            <w:pPr>
              <w:widowControl/>
              <w:jc w:val="center"/>
              <w:rPr>
                <w:color w:val="000000"/>
                <w:kern w:val="0"/>
                <w:szCs w:val="21"/>
              </w:rPr>
            </w:pPr>
            <w:r>
              <w:rPr>
                <w:rFonts w:hAnsi="宋体"/>
                <w:color w:val="000000"/>
                <w:kern w:val="0"/>
                <w:szCs w:val="21"/>
              </w:rPr>
              <w:t>农贸市场</w:t>
            </w:r>
          </w:p>
        </w:tc>
        <w:tc>
          <w:tcPr>
            <w:tcW w:w="1080" w:type="dxa"/>
            <w:tcBorders>
              <w:top w:val="nil"/>
              <w:left w:val="nil"/>
              <w:bottom w:val="nil"/>
              <w:right w:val="nil"/>
            </w:tcBorders>
            <w:shd w:val="clear" w:color="auto" w:fill="auto"/>
            <w:noWrap/>
            <w:vAlign w:val="bottom"/>
          </w:tcPr>
          <w:p w14:paraId="7677A1FA">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7858CF63">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17487C40">
            <w:pPr>
              <w:widowControl/>
              <w:jc w:val="center"/>
              <w:rPr>
                <w:color w:val="000000"/>
                <w:kern w:val="0"/>
                <w:szCs w:val="21"/>
              </w:rPr>
            </w:pPr>
            <w:r>
              <w:rPr>
                <w:color w:val="000000"/>
                <w:kern w:val="0"/>
                <w:szCs w:val="21"/>
              </w:rPr>
              <w:t xml:space="preserve">0.00 </w:t>
            </w:r>
          </w:p>
        </w:tc>
      </w:tr>
      <w:tr w14:paraId="056D4B21">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3CA9A5CD">
            <w:pPr>
              <w:widowControl/>
              <w:jc w:val="left"/>
              <w:rPr>
                <w:color w:val="000000"/>
                <w:kern w:val="0"/>
                <w:szCs w:val="21"/>
              </w:rPr>
            </w:pPr>
          </w:p>
        </w:tc>
        <w:tc>
          <w:tcPr>
            <w:tcW w:w="1080" w:type="dxa"/>
            <w:vMerge w:val="continue"/>
            <w:tcBorders>
              <w:top w:val="nil"/>
              <w:left w:val="nil"/>
              <w:bottom w:val="nil"/>
              <w:right w:val="nil"/>
            </w:tcBorders>
            <w:vAlign w:val="center"/>
          </w:tcPr>
          <w:p w14:paraId="12FCF93B">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1B8DD987">
            <w:pPr>
              <w:widowControl/>
              <w:jc w:val="center"/>
              <w:rPr>
                <w:color w:val="000000"/>
                <w:kern w:val="0"/>
                <w:szCs w:val="21"/>
              </w:rPr>
            </w:pPr>
            <w:r>
              <w:rPr>
                <w:rFonts w:hAnsi="宋体"/>
                <w:color w:val="000000"/>
                <w:kern w:val="0"/>
                <w:szCs w:val="21"/>
              </w:rPr>
              <w:t>超市</w:t>
            </w:r>
          </w:p>
        </w:tc>
        <w:tc>
          <w:tcPr>
            <w:tcW w:w="1080" w:type="dxa"/>
            <w:tcBorders>
              <w:top w:val="nil"/>
              <w:left w:val="nil"/>
              <w:bottom w:val="nil"/>
              <w:right w:val="nil"/>
            </w:tcBorders>
            <w:shd w:val="clear" w:color="auto" w:fill="auto"/>
            <w:noWrap/>
            <w:vAlign w:val="bottom"/>
          </w:tcPr>
          <w:p w14:paraId="45F789FC">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1B13ABB5">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7A14914E">
            <w:pPr>
              <w:widowControl/>
              <w:jc w:val="center"/>
              <w:rPr>
                <w:color w:val="000000"/>
                <w:kern w:val="0"/>
                <w:szCs w:val="21"/>
              </w:rPr>
            </w:pPr>
            <w:r>
              <w:rPr>
                <w:color w:val="000000"/>
                <w:kern w:val="0"/>
                <w:szCs w:val="21"/>
              </w:rPr>
              <w:t xml:space="preserve">0.00 </w:t>
            </w:r>
          </w:p>
        </w:tc>
      </w:tr>
      <w:tr w14:paraId="36707FDC">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5EC64DDB">
            <w:pPr>
              <w:widowControl/>
              <w:jc w:val="left"/>
              <w:rPr>
                <w:color w:val="000000"/>
                <w:kern w:val="0"/>
                <w:szCs w:val="21"/>
              </w:rPr>
            </w:pPr>
          </w:p>
        </w:tc>
        <w:tc>
          <w:tcPr>
            <w:tcW w:w="1080" w:type="dxa"/>
            <w:vMerge w:val="continue"/>
            <w:tcBorders>
              <w:top w:val="nil"/>
              <w:left w:val="nil"/>
              <w:bottom w:val="nil"/>
              <w:right w:val="nil"/>
            </w:tcBorders>
            <w:vAlign w:val="center"/>
          </w:tcPr>
          <w:p w14:paraId="2656E326">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1B310086">
            <w:pPr>
              <w:widowControl/>
              <w:jc w:val="center"/>
              <w:rPr>
                <w:b/>
                <w:bCs/>
                <w:color w:val="000000"/>
                <w:kern w:val="0"/>
                <w:szCs w:val="21"/>
              </w:rPr>
            </w:pPr>
            <w:r>
              <w:rPr>
                <w:rFonts w:hAnsi="宋体"/>
                <w:b/>
                <w:bCs/>
                <w:color w:val="000000"/>
                <w:kern w:val="0"/>
                <w:szCs w:val="21"/>
              </w:rPr>
              <w:t>小计</w:t>
            </w:r>
          </w:p>
        </w:tc>
        <w:tc>
          <w:tcPr>
            <w:tcW w:w="1080" w:type="dxa"/>
            <w:tcBorders>
              <w:top w:val="nil"/>
              <w:left w:val="nil"/>
              <w:bottom w:val="single" w:color="auto" w:sz="4" w:space="0"/>
              <w:right w:val="nil"/>
            </w:tcBorders>
            <w:shd w:val="clear" w:color="auto" w:fill="auto"/>
            <w:noWrap/>
            <w:vAlign w:val="bottom"/>
          </w:tcPr>
          <w:p w14:paraId="05D33F34">
            <w:pPr>
              <w:widowControl/>
              <w:jc w:val="center"/>
              <w:rPr>
                <w:color w:val="000000"/>
                <w:kern w:val="0"/>
                <w:szCs w:val="21"/>
              </w:rPr>
            </w:pPr>
            <w:r>
              <w:rPr>
                <w:color w:val="000000"/>
                <w:kern w:val="0"/>
                <w:szCs w:val="21"/>
              </w:rPr>
              <w:t>150</w:t>
            </w:r>
          </w:p>
        </w:tc>
        <w:tc>
          <w:tcPr>
            <w:tcW w:w="1080" w:type="dxa"/>
            <w:tcBorders>
              <w:top w:val="nil"/>
              <w:left w:val="nil"/>
              <w:bottom w:val="nil"/>
              <w:right w:val="nil"/>
            </w:tcBorders>
            <w:shd w:val="clear" w:color="auto" w:fill="auto"/>
            <w:noWrap/>
            <w:vAlign w:val="bottom"/>
          </w:tcPr>
          <w:p w14:paraId="12705375">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1D19FA2A">
            <w:pPr>
              <w:widowControl/>
              <w:jc w:val="center"/>
              <w:rPr>
                <w:color w:val="000000"/>
                <w:kern w:val="0"/>
                <w:szCs w:val="21"/>
              </w:rPr>
            </w:pPr>
            <w:r>
              <w:rPr>
                <w:color w:val="000000"/>
                <w:kern w:val="0"/>
                <w:szCs w:val="21"/>
              </w:rPr>
              <w:t xml:space="preserve">0.00 </w:t>
            </w:r>
          </w:p>
        </w:tc>
      </w:tr>
      <w:tr w14:paraId="58DB8436">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485D6F2D">
            <w:pPr>
              <w:widowControl/>
              <w:jc w:val="left"/>
              <w:rPr>
                <w:color w:val="000000"/>
                <w:kern w:val="0"/>
                <w:szCs w:val="21"/>
              </w:rPr>
            </w:pPr>
          </w:p>
        </w:tc>
        <w:tc>
          <w:tcPr>
            <w:tcW w:w="1080" w:type="dxa"/>
            <w:vMerge w:val="restart"/>
            <w:tcBorders>
              <w:top w:val="single" w:color="auto" w:sz="4" w:space="0"/>
              <w:left w:val="nil"/>
              <w:bottom w:val="single" w:color="000000" w:sz="4" w:space="0"/>
              <w:right w:val="nil"/>
            </w:tcBorders>
            <w:shd w:val="clear" w:color="auto" w:fill="auto"/>
            <w:vAlign w:val="center"/>
          </w:tcPr>
          <w:p w14:paraId="64A85573">
            <w:pPr>
              <w:widowControl/>
              <w:jc w:val="center"/>
              <w:rPr>
                <w:color w:val="000000"/>
                <w:kern w:val="0"/>
                <w:szCs w:val="21"/>
              </w:rPr>
            </w:pPr>
            <w:r>
              <w:rPr>
                <w:color w:val="000000"/>
                <w:kern w:val="0"/>
                <w:szCs w:val="21"/>
              </w:rPr>
              <w:t>2017年3月</w:t>
            </w:r>
          </w:p>
        </w:tc>
        <w:tc>
          <w:tcPr>
            <w:tcW w:w="1080" w:type="dxa"/>
            <w:tcBorders>
              <w:top w:val="single" w:color="auto" w:sz="4" w:space="0"/>
              <w:left w:val="nil"/>
              <w:bottom w:val="nil"/>
              <w:right w:val="nil"/>
            </w:tcBorders>
            <w:shd w:val="clear" w:color="auto" w:fill="auto"/>
            <w:vAlign w:val="center"/>
          </w:tcPr>
          <w:p w14:paraId="5D3798D5">
            <w:pPr>
              <w:widowControl/>
              <w:jc w:val="center"/>
              <w:rPr>
                <w:color w:val="000000"/>
                <w:kern w:val="0"/>
                <w:szCs w:val="21"/>
              </w:rPr>
            </w:pPr>
            <w:r>
              <w:rPr>
                <w:rFonts w:hAnsi="宋体"/>
                <w:color w:val="000000"/>
                <w:kern w:val="0"/>
                <w:szCs w:val="21"/>
              </w:rPr>
              <w:t>奉贤爱森</w:t>
            </w:r>
          </w:p>
        </w:tc>
        <w:tc>
          <w:tcPr>
            <w:tcW w:w="1080" w:type="dxa"/>
            <w:tcBorders>
              <w:top w:val="nil"/>
              <w:left w:val="nil"/>
              <w:bottom w:val="nil"/>
              <w:right w:val="nil"/>
            </w:tcBorders>
            <w:shd w:val="clear" w:color="auto" w:fill="auto"/>
            <w:noWrap/>
            <w:vAlign w:val="bottom"/>
          </w:tcPr>
          <w:p w14:paraId="7AA6E0E2">
            <w:pPr>
              <w:widowControl/>
              <w:jc w:val="center"/>
              <w:rPr>
                <w:color w:val="000000"/>
                <w:kern w:val="0"/>
                <w:szCs w:val="21"/>
              </w:rPr>
            </w:pPr>
            <w:r>
              <w:rPr>
                <w:color w:val="000000"/>
                <w:kern w:val="0"/>
                <w:szCs w:val="21"/>
              </w:rPr>
              <w:t>30</w:t>
            </w:r>
          </w:p>
        </w:tc>
        <w:tc>
          <w:tcPr>
            <w:tcW w:w="1080" w:type="dxa"/>
            <w:tcBorders>
              <w:top w:val="single" w:color="auto" w:sz="4" w:space="0"/>
              <w:left w:val="nil"/>
              <w:bottom w:val="nil"/>
              <w:right w:val="nil"/>
            </w:tcBorders>
            <w:shd w:val="clear" w:color="auto" w:fill="auto"/>
            <w:noWrap/>
            <w:vAlign w:val="bottom"/>
          </w:tcPr>
          <w:p w14:paraId="4E6AF846">
            <w:pPr>
              <w:widowControl/>
              <w:jc w:val="center"/>
              <w:rPr>
                <w:color w:val="000000"/>
                <w:kern w:val="0"/>
                <w:szCs w:val="21"/>
              </w:rPr>
            </w:pPr>
            <w:r>
              <w:rPr>
                <w:color w:val="000000"/>
                <w:kern w:val="0"/>
                <w:szCs w:val="21"/>
              </w:rPr>
              <w:t>0</w:t>
            </w:r>
          </w:p>
        </w:tc>
        <w:tc>
          <w:tcPr>
            <w:tcW w:w="1080" w:type="dxa"/>
            <w:tcBorders>
              <w:top w:val="single" w:color="auto" w:sz="4" w:space="0"/>
              <w:left w:val="nil"/>
              <w:bottom w:val="nil"/>
              <w:right w:val="nil"/>
            </w:tcBorders>
            <w:shd w:val="clear" w:color="auto" w:fill="auto"/>
            <w:noWrap/>
            <w:vAlign w:val="bottom"/>
          </w:tcPr>
          <w:p w14:paraId="4BF2DB37">
            <w:pPr>
              <w:widowControl/>
              <w:jc w:val="center"/>
              <w:rPr>
                <w:color w:val="000000"/>
                <w:kern w:val="0"/>
                <w:szCs w:val="21"/>
              </w:rPr>
            </w:pPr>
            <w:r>
              <w:rPr>
                <w:color w:val="000000"/>
                <w:kern w:val="0"/>
                <w:szCs w:val="21"/>
              </w:rPr>
              <w:t xml:space="preserve">0.00 </w:t>
            </w:r>
          </w:p>
        </w:tc>
      </w:tr>
      <w:tr w14:paraId="6ED3B4DB">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6C06E2D8">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753099F6">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690C19D5">
            <w:pPr>
              <w:widowControl/>
              <w:jc w:val="center"/>
              <w:rPr>
                <w:color w:val="000000"/>
                <w:kern w:val="0"/>
                <w:szCs w:val="21"/>
              </w:rPr>
            </w:pPr>
            <w:r>
              <w:rPr>
                <w:rFonts w:hAnsi="宋体"/>
                <w:color w:val="000000"/>
                <w:kern w:val="0"/>
                <w:szCs w:val="21"/>
              </w:rPr>
              <w:t>嘉定五丰</w:t>
            </w:r>
          </w:p>
        </w:tc>
        <w:tc>
          <w:tcPr>
            <w:tcW w:w="1080" w:type="dxa"/>
            <w:tcBorders>
              <w:top w:val="nil"/>
              <w:left w:val="nil"/>
              <w:bottom w:val="nil"/>
              <w:right w:val="nil"/>
            </w:tcBorders>
            <w:shd w:val="clear" w:color="auto" w:fill="auto"/>
            <w:noWrap/>
            <w:vAlign w:val="bottom"/>
          </w:tcPr>
          <w:p w14:paraId="6B4563FC">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123A515A">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37976C17">
            <w:pPr>
              <w:widowControl/>
              <w:jc w:val="center"/>
              <w:rPr>
                <w:color w:val="000000"/>
                <w:kern w:val="0"/>
                <w:szCs w:val="21"/>
              </w:rPr>
            </w:pPr>
            <w:r>
              <w:rPr>
                <w:color w:val="000000"/>
                <w:kern w:val="0"/>
                <w:szCs w:val="21"/>
              </w:rPr>
              <w:t xml:space="preserve">0.00 </w:t>
            </w:r>
          </w:p>
        </w:tc>
      </w:tr>
      <w:tr w14:paraId="40C04586">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23A205CD">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3420C6A1">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0EC4E717">
            <w:pPr>
              <w:widowControl/>
              <w:jc w:val="center"/>
              <w:rPr>
                <w:color w:val="000000"/>
                <w:kern w:val="0"/>
                <w:szCs w:val="21"/>
              </w:rPr>
            </w:pPr>
            <w:r>
              <w:rPr>
                <w:rFonts w:hAnsi="宋体"/>
                <w:color w:val="000000"/>
                <w:kern w:val="0"/>
                <w:szCs w:val="21"/>
              </w:rPr>
              <w:t>奉贤申兰</w:t>
            </w:r>
          </w:p>
        </w:tc>
        <w:tc>
          <w:tcPr>
            <w:tcW w:w="1080" w:type="dxa"/>
            <w:tcBorders>
              <w:top w:val="nil"/>
              <w:left w:val="nil"/>
              <w:bottom w:val="nil"/>
              <w:right w:val="nil"/>
            </w:tcBorders>
            <w:shd w:val="clear" w:color="auto" w:fill="auto"/>
            <w:noWrap/>
            <w:vAlign w:val="bottom"/>
          </w:tcPr>
          <w:p w14:paraId="4534E450">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164A5F1D">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3B254EB0">
            <w:pPr>
              <w:widowControl/>
              <w:jc w:val="center"/>
              <w:rPr>
                <w:color w:val="000000"/>
                <w:kern w:val="0"/>
                <w:szCs w:val="21"/>
              </w:rPr>
            </w:pPr>
            <w:r>
              <w:rPr>
                <w:color w:val="000000"/>
                <w:kern w:val="0"/>
                <w:szCs w:val="21"/>
              </w:rPr>
              <w:t xml:space="preserve">0.00 </w:t>
            </w:r>
          </w:p>
        </w:tc>
      </w:tr>
      <w:tr w14:paraId="5A254DB2">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0BF35F67">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7D0806FF">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1516B72D">
            <w:pPr>
              <w:widowControl/>
              <w:jc w:val="center"/>
              <w:rPr>
                <w:color w:val="000000"/>
                <w:kern w:val="0"/>
                <w:szCs w:val="21"/>
              </w:rPr>
            </w:pPr>
            <w:r>
              <w:rPr>
                <w:rFonts w:hAnsi="宋体"/>
                <w:color w:val="000000"/>
                <w:kern w:val="0"/>
                <w:szCs w:val="21"/>
              </w:rPr>
              <w:t>农贸市场</w:t>
            </w:r>
          </w:p>
        </w:tc>
        <w:tc>
          <w:tcPr>
            <w:tcW w:w="1080" w:type="dxa"/>
            <w:tcBorders>
              <w:top w:val="nil"/>
              <w:left w:val="nil"/>
              <w:bottom w:val="nil"/>
              <w:right w:val="nil"/>
            </w:tcBorders>
            <w:shd w:val="clear" w:color="auto" w:fill="auto"/>
            <w:noWrap/>
            <w:vAlign w:val="bottom"/>
          </w:tcPr>
          <w:p w14:paraId="462F19F5">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045F243D">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19133B82">
            <w:pPr>
              <w:widowControl/>
              <w:jc w:val="center"/>
              <w:rPr>
                <w:color w:val="000000"/>
                <w:kern w:val="0"/>
                <w:szCs w:val="21"/>
              </w:rPr>
            </w:pPr>
            <w:r>
              <w:rPr>
                <w:color w:val="000000"/>
                <w:kern w:val="0"/>
                <w:szCs w:val="21"/>
              </w:rPr>
              <w:t xml:space="preserve">0.00 </w:t>
            </w:r>
          </w:p>
        </w:tc>
      </w:tr>
      <w:tr w14:paraId="0E5EE6BF">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01A26F7B">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62AD584A">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3380503B">
            <w:pPr>
              <w:widowControl/>
              <w:jc w:val="center"/>
              <w:rPr>
                <w:color w:val="000000"/>
                <w:kern w:val="0"/>
                <w:szCs w:val="21"/>
              </w:rPr>
            </w:pPr>
            <w:r>
              <w:rPr>
                <w:rFonts w:hAnsi="宋体"/>
                <w:color w:val="000000"/>
                <w:kern w:val="0"/>
                <w:szCs w:val="21"/>
              </w:rPr>
              <w:t>超市</w:t>
            </w:r>
          </w:p>
        </w:tc>
        <w:tc>
          <w:tcPr>
            <w:tcW w:w="1080" w:type="dxa"/>
            <w:tcBorders>
              <w:top w:val="nil"/>
              <w:left w:val="nil"/>
              <w:bottom w:val="nil"/>
              <w:right w:val="nil"/>
            </w:tcBorders>
            <w:shd w:val="clear" w:color="auto" w:fill="auto"/>
            <w:noWrap/>
            <w:vAlign w:val="bottom"/>
          </w:tcPr>
          <w:p w14:paraId="192960FE">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39B163E4">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04EBD19C">
            <w:pPr>
              <w:widowControl/>
              <w:jc w:val="center"/>
              <w:rPr>
                <w:color w:val="000000"/>
                <w:kern w:val="0"/>
                <w:szCs w:val="21"/>
              </w:rPr>
            </w:pPr>
            <w:r>
              <w:rPr>
                <w:color w:val="000000"/>
                <w:kern w:val="0"/>
                <w:szCs w:val="21"/>
              </w:rPr>
              <w:t xml:space="preserve">0.00 </w:t>
            </w:r>
          </w:p>
        </w:tc>
      </w:tr>
      <w:tr w14:paraId="558FA253">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32A44547">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14B46F17">
            <w:pPr>
              <w:widowControl/>
              <w:jc w:val="left"/>
              <w:rPr>
                <w:color w:val="000000"/>
                <w:kern w:val="0"/>
                <w:szCs w:val="21"/>
              </w:rPr>
            </w:pPr>
          </w:p>
        </w:tc>
        <w:tc>
          <w:tcPr>
            <w:tcW w:w="1080" w:type="dxa"/>
            <w:tcBorders>
              <w:top w:val="nil"/>
              <w:left w:val="nil"/>
              <w:bottom w:val="single" w:color="auto" w:sz="4" w:space="0"/>
              <w:right w:val="nil"/>
            </w:tcBorders>
            <w:shd w:val="clear" w:color="auto" w:fill="auto"/>
            <w:vAlign w:val="center"/>
          </w:tcPr>
          <w:p w14:paraId="3CC492B4">
            <w:pPr>
              <w:widowControl/>
              <w:jc w:val="center"/>
              <w:rPr>
                <w:b/>
                <w:bCs/>
                <w:color w:val="000000"/>
                <w:kern w:val="0"/>
                <w:szCs w:val="21"/>
              </w:rPr>
            </w:pPr>
            <w:r>
              <w:rPr>
                <w:rFonts w:hAnsi="宋体"/>
                <w:b/>
                <w:bCs/>
                <w:color w:val="000000"/>
                <w:kern w:val="0"/>
                <w:szCs w:val="21"/>
              </w:rPr>
              <w:t>小计</w:t>
            </w:r>
          </w:p>
        </w:tc>
        <w:tc>
          <w:tcPr>
            <w:tcW w:w="1080" w:type="dxa"/>
            <w:tcBorders>
              <w:top w:val="nil"/>
              <w:left w:val="nil"/>
              <w:bottom w:val="single" w:color="auto" w:sz="4" w:space="0"/>
              <w:right w:val="nil"/>
            </w:tcBorders>
            <w:shd w:val="clear" w:color="auto" w:fill="auto"/>
            <w:noWrap/>
            <w:vAlign w:val="bottom"/>
          </w:tcPr>
          <w:p w14:paraId="36B1BAF2">
            <w:pPr>
              <w:widowControl/>
              <w:jc w:val="center"/>
              <w:rPr>
                <w:color w:val="000000"/>
                <w:kern w:val="0"/>
                <w:szCs w:val="21"/>
              </w:rPr>
            </w:pPr>
            <w:r>
              <w:rPr>
                <w:color w:val="000000"/>
                <w:kern w:val="0"/>
                <w:szCs w:val="21"/>
              </w:rPr>
              <w:t>150</w:t>
            </w:r>
          </w:p>
        </w:tc>
        <w:tc>
          <w:tcPr>
            <w:tcW w:w="1080" w:type="dxa"/>
            <w:tcBorders>
              <w:top w:val="nil"/>
              <w:left w:val="nil"/>
              <w:bottom w:val="single" w:color="auto" w:sz="4" w:space="0"/>
              <w:right w:val="nil"/>
            </w:tcBorders>
            <w:shd w:val="clear" w:color="auto" w:fill="auto"/>
            <w:noWrap/>
            <w:vAlign w:val="bottom"/>
          </w:tcPr>
          <w:p w14:paraId="7419DA7D">
            <w:pPr>
              <w:widowControl/>
              <w:jc w:val="center"/>
              <w:rPr>
                <w:color w:val="000000"/>
                <w:kern w:val="0"/>
                <w:szCs w:val="21"/>
              </w:rPr>
            </w:pPr>
            <w:r>
              <w:rPr>
                <w:color w:val="000000"/>
                <w:kern w:val="0"/>
                <w:szCs w:val="21"/>
              </w:rPr>
              <w:t>0</w:t>
            </w:r>
          </w:p>
        </w:tc>
        <w:tc>
          <w:tcPr>
            <w:tcW w:w="1080" w:type="dxa"/>
            <w:tcBorders>
              <w:top w:val="nil"/>
              <w:left w:val="nil"/>
              <w:bottom w:val="single" w:color="auto" w:sz="4" w:space="0"/>
              <w:right w:val="nil"/>
            </w:tcBorders>
            <w:shd w:val="clear" w:color="auto" w:fill="auto"/>
            <w:noWrap/>
            <w:vAlign w:val="bottom"/>
          </w:tcPr>
          <w:p w14:paraId="0DC0A294">
            <w:pPr>
              <w:widowControl/>
              <w:jc w:val="center"/>
              <w:rPr>
                <w:color w:val="000000"/>
                <w:kern w:val="0"/>
                <w:szCs w:val="21"/>
              </w:rPr>
            </w:pPr>
            <w:r>
              <w:rPr>
                <w:color w:val="000000"/>
                <w:kern w:val="0"/>
                <w:szCs w:val="21"/>
              </w:rPr>
              <w:t xml:space="preserve">0.00 </w:t>
            </w:r>
          </w:p>
        </w:tc>
      </w:tr>
      <w:tr w14:paraId="47D5389E">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42E32AD7">
            <w:pPr>
              <w:widowControl/>
              <w:jc w:val="left"/>
              <w:rPr>
                <w:color w:val="000000"/>
                <w:kern w:val="0"/>
                <w:szCs w:val="21"/>
              </w:rPr>
            </w:pPr>
          </w:p>
        </w:tc>
        <w:tc>
          <w:tcPr>
            <w:tcW w:w="1080" w:type="dxa"/>
            <w:vMerge w:val="restart"/>
            <w:tcBorders>
              <w:top w:val="nil"/>
              <w:left w:val="nil"/>
              <w:bottom w:val="single" w:color="000000" w:sz="4" w:space="0"/>
              <w:right w:val="nil"/>
            </w:tcBorders>
            <w:shd w:val="clear" w:color="auto" w:fill="auto"/>
            <w:vAlign w:val="center"/>
          </w:tcPr>
          <w:p w14:paraId="5C8670AD">
            <w:pPr>
              <w:widowControl/>
              <w:jc w:val="center"/>
              <w:rPr>
                <w:color w:val="000000"/>
                <w:kern w:val="0"/>
                <w:szCs w:val="21"/>
              </w:rPr>
            </w:pPr>
            <w:r>
              <w:rPr>
                <w:color w:val="000000"/>
                <w:kern w:val="0"/>
                <w:szCs w:val="21"/>
              </w:rPr>
              <w:t>2017年12月</w:t>
            </w:r>
          </w:p>
        </w:tc>
        <w:tc>
          <w:tcPr>
            <w:tcW w:w="1080" w:type="dxa"/>
            <w:tcBorders>
              <w:top w:val="nil"/>
              <w:left w:val="nil"/>
              <w:bottom w:val="nil"/>
              <w:right w:val="nil"/>
            </w:tcBorders>
            <w:shd w:val="clear" w:color="auto" w:fill="auto"/>
            <w:vAlign w:val="center"/>
          </w:tcPr>
          <w:p w14:paraId="612F2231">
            <w:pPr>
              <w:widowControl/>
              <w:jc w:val="center"/>
              <w:rPr>
                <w:color w:val="000000"/>
                <w:kern w:val="0"/>
                <w:szCs w:val="21"/>
              </w:rPr>
            </w:pPr>
            <w:r>
              <w:rPr>
                <w:rFonts w:hAnsi="宋体"/>
                <w:color w:val="000000"/>
                <w:kern w:val="0"/>
                <w:szCs w:val="21"/>
              </w:rPr>
              <w:t>奉贤爱森</w:t>
            </w:r>
          </w:p>
        </w:tc>
        <w:tc>
          <w:tcPr>
            <w:tcW w:w="1080" w:type="dxa"/>
            <w:tcBorders>
              <w:top w:val="nil"/>
              <w:left w:val="nil"/>
              <w:bottom w:val="nil"/>
              <w:right w:val="nil"/>
            </w:tcBorders>
            <w:shd w:val="clear" w:color="auto" w:fill="auto"/>
            <w:noWrap/>
            <w:vAlign w:val="bottom"/>
          </w:tcPr>
          <w:p w14:paraId="2C1B0E53">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40717D22">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145C0E62">
            <w:pPr>
              <w:widowControl/>
              <w:jc w:val="center"/>
              <w:rPr>
                <w:color w:val="000000"/>
                <w:kern w:val="0"/>
                <w:szCs w:val="21"/>
              </w:rPr>
            </w:pPr>
            <w:r>
              <w:rPr>
                <w:color w:val="000000"/>
                <w:kern w:val="0"/>
                <w:szCs w:val="21"/>
              </w:rPr>
              <w:t xml:space="preserve">0.00 </w:t>
            </w:r>
          </w:p>
        </w:tc>
      </w:tr>
      <w:tr w14:paraId="56BE6B60">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06239FA0">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1CBE606D">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47A2CB0D">
            <w:pPr>
              <w:widowControl/>
              <w:jc w:val="center"/>
              <w:rPr>
                <w:color w:val="000000"/>
                <w:kern w:val="0"/>
                <w:szCs w:val="21"/>
              </w:rPr>
            </w:pPr>
            <w:r>
              <w:rPr>
                <w:rFonts w:hAnsi="宋体"/>
                <w:color w:val="000000"/>
                <w:kern w:val="0"/>
                <w:szCs w:val="21"/>
              </w:rPr>
              <w:t>嘉定五丰</w:t>
            </w:r>
          </w:p>
        </w:tc>
        <w:tc>
          <w:tcPr>
            <w:tcW w:w="1080" w:type="dxa"/>
            <w:tcBorders>
              <w:top w:val="nil"/>
              <w:left w:val="nil"/>
              <w:bottom w:val="nil"/>
              <w:right w:val="nil"/>
            </w:tcBorders>
            <w:shd w:val="clear" w:color="auto" w:fill="auto"/>
            <w:noWrap/>
            <w:vAlign w:val="bottom"/>
          </w:tcPr>
          <w:p w14:paraId="65B28731">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7EAF08F7">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5FCDA4FC">
            <w:pPr>
              <w:widowControl/>
              <w:jc w:val="center"/>
              <w:rPr>
                <w:color w:val="000000"/>
                <w:kern w:val="0"/>
                <w:szCs w:val="21"/>
              </w:rPr>
            </w:pPr>
            <w:r>
              <w:rPr>
                <w:color w:val="000000"/>
                <w:kern w:val="0"/>
                <w:szCs w:val="21"/>
              </w:rPr>
              <w:t xml:space="preserve">0.00 </w:t>
            </w:r>
          </w:p>
        </w:tc>
      </w:tr>
      <w:tr w14:paraId="37EF162D">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5DBA211E">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193113B9">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41BD14BB">
            <w:pPr>
              <w:widowControl/>
              <w:jc w:val="center"/>
              <w:rPr>
                <w:color w:val="000000"/>
                <w:kern w:val="0"/>
                <w:szCs w:val="21"/>
              </w:rPr>
            </w:pPr>
            <w:r>
              <w:rPr>
                <w:rFonts w:hAnsi="宋体"/>
                <w:color w:val="000000"/>
                <w:kern w:val="0"/>
                <w:szCs w:val="21"/>
              </w:rPr>
              <w:t>奉贤申兰</w:t>
            </w:r>
          </w:p>
        </w:tc>
        <w:tc>
          <w:tcPr>
            <w:tcW w:w="1080" w:type="dxa"/>
            <w:tcBorders>
              <w:top w:val="nil"/>
              <w:left w:val="nil"/>
              <w:bottom w:val="nil"/>
              <w:right w:val="nil"/>
            </w:tcBorders>
            <w:shd w:val="clear" w:color="auto" w:fill="auto"/>
            <w:noWrap/>
            <w:vAlign w:val="bottom"/>
          </w:tcPr>
          <w:p w14:paraId="75F5BA07">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27D485E2">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7A713D05">
            <w:pPr>
              <w:widowControl/>
              <w:jc w:val="center"/>
              <w:rPr>
                <w:color w:val="000000"/>
                <w:kern w:val="0"/>
                <w:szCs w:val="21"/>
              </w:rPr>
            </w:pPr>
            <w:r>
              <w:rPr>
                <w:color w:val="000000"/>
                <w:kern w:val="0"/>
                <w:szCs w:val="21"/>
              </w:rPr>
              <w:t xml:space="preserve">0.00 </w:t>
            </w:r>
          </w:p>
        </w:tc>
      </w:tr>
      <w:tr w14:paraId="3F5727A6">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65E94F67">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0F443B4D">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5C01C164">
            <w:pPr>
              <w:widowControl/>
              <w:jc w:val="center"/>
              <w:rPr>
                <w:color w:val="000000"/>
                <w:kern w:val="0"/>
                <w:szCs w:val="21"/>
              </w:rPr>
            </w:pPr>
            <w:r>
              <w:rPr>
                <w:rFonts w:hAnsi="宋体"/>
                <w:color w:val="000000"/>
                <w:kern w:val="0"/>
                <w:szCs w:val="21"/>
              </w:rPr>
              <w:t>农贸市场</w:t>
            </w:r>
          </w:p>
        </w:tc>
        <w:tc>
          <w:tcPr>
            <w:tcW w:w="1080" w:type="dxa"/>
            <w:tcBorders>
              <w:top w:val="nil"/>
              <w:left w:val="nil"/>
              <w:bottom w:val="nil"/>
              <w:right w:val="nil"/>
            </w:tcBorders>
            <w:shd w:val="clear" w:color="auto" w:fill="auto"/>
            <w:noWrap/>
            <w:vAlign w:val="bottom"/>
          </w:tcPr>
          <w:p w14:paraId="6F15DC2A">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6A4889D4">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41DBF836">
            <w:pPr>
              <w:widowControl/>
              <w:jc w:val="center"/>
              <w:rPr>
                <w:color w:val="000000"/>
                <w:kern w:val="0"/>
                <w:szCs w:val="21"/>
              </w:rPr>
            </w:pPr>
            <w:r>
              <w:rPr>
                <w:color w:val="000000"/>
                <w:kern w:val="0"/>
                <w:szCs w:val="21"/>
              </w:rPr>
              <w:t xml:space="preserve">0.00 </w:t>
            </w:r>
          </w:p>
        </w:tc>
      </w:tr>
      <w:tr w14:paraId="3EB0EB3D">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12F42D3B">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4DDD85A4">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694402FD">
            <w:pPr>
              <w:widowControl/>
              <w:jc w:val="center"/>
              <w:rPr>
                <w:color w:val="000000"/>
                <w:kern w:val="0"/>
                <w:szCs w:val="21"/>
              </w:rPr>
            </w:pPr>
            <w:r>
              <w:rPr>
                <w:rFonts w:hAnsi="宋体"/>
                <w:color w:val="000000"/>
                <w:kern w:val="0"/>
                <w:szCs w:val="21"/>
              </w:rPr>
              <w:t>超市</w:t>
            </w:r>
          </w:p>
        </w:tc>
        <w:tc>
          <w:tcPr>
            <w:tcW w:w="1080" w:type="dxa"/>
            <w:tcBorders>
              <w:top w:val="nil"/>
              <w:left w:val="nil"/>
              <w:bottom w:val="nil"/>
              <w:right w:val="nil"/>
            </w:tcBorders>
            <w:shd w:val="clear" w:color="auto" w:fill="auto"/>
            <w:noWrap/>
            <w:vAlign w:val="bottom"/>
          </w:tcPr>
          <w:p w14:paraId="0632F9F9">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7701087B">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2C74F4C5">
            <w:pPr>
              <w:widowControl/>
              <w:jc w:val="center"/>
              <w:rPr>
                <w:color w:val="000000"/>
                <w:kern w:val="0"/>
                <w:szCs w:val="21"/>
              </w:rPr>
            </w:pPr>
            <w:r>
              <w:rPr>
                <w:color w:val="000000"/>
                <w:kern w:val="0"/>
                <w:szCs w:val="21"/>
              </w:rPr>
              <w:t xml:space="preserve">0.00 </w:t>
            </w:r>
          </w:p>
        </w:tc>
      </w:tr>
      <w:tr w14:paraId="092274AD">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1F6B92EB">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7E39C9F9">
            <w:pPr>
              <w:widowControl/>
              <w:jc w:val="left"/>
              <w:rPr>
                <w:color w:val="000000"/>
                <w:kern w:val="0"/>
                <w:szCs w:val="21"/>
              </w:rPr>
            </w:pPr>
          </w:p>
        </w:tc>
        <w:tc>
          <w:tcPr>
            <w:tcW w:w="1080" w:type="dxa"/>
            <w:tcBorders>
              <w:top w:val="nil"/>
              <w:left w:val="nil"/>
              <w:bottom w:val="single" w:color="auto" w:sz="4" w:space="0"/>
              <w:right w:val="nil"/>
            </w:tcBorders>
            <w:shd w:val="clear" w:color="auto" w:fill="auto"/>
            <w:vAlign w:val="center"/>
          </w:tcPr>
          <w:p w14:paraId="03BA9587">
            <w:pPr>
              <w:widowControl/>
              <w:jc w:val="center"/>
              <w:rPr>
                <w:b/>
                <w:bCs/>
                <w:color w:val="000000"/>
                <w:kern w:val="0"/>
                <w:szCs w:val="21"/>
              </w:rPr>
            </w:pPr>
            <w:r>
              <w:rPr>
                <w:rFonts w:hAnsi="宋体"/>
                <w:b/>
                <w:bCs/>
                <w:color w:val="000000"/>
                <w:kern w:val="0"/>
                <w:szCs w:val="21"/>
              </w:rPr>
              <w:t>小计</w:t>
            </w:r>
          </w:p>
        </w:tc>
        <w:tc>
          <w:tcPr>
            <w:tcW w:w="1080" w:type="dxa"/>
            <w:tcBorders>
              <w:top w:val="nil"/>
              <w:left w:val="nil"/>
              <w:bottom w:val="single" w:color="auto" w:sz="4" w:space="0"/>
              <w:right w:val="nil"/>
            </w:tcBorders>
            <w:shd w:val="clear" w:color="auto" w:fill="auto"/>
            <w:noWrap/>
            <w:vAlign w:val="bottom"/>
          </w:tcPr>
          <w:p w14:paraId="74FEFC2D">
            <w:pPr>
              <w:widowControl/>
              <w:jc w:val="center"/>
              <w:rPr>
                <w:color w:val="000000"/>
                <w:kern w:val="0"/>
                <w:szCs w:val="21"/>
              </w:rPr>
            </w:pPr>
            <w:r>
              <w:rPr>
                <w:color w:val="000000"/>
                <w:kern w:val="0"/>
                <w:szCs w:val="21"/>
              </w:rPr>
              <w:t>150</w:t>
            </w:r>
          </w:p>
        </w:tc>
        <w:tc>
          <w:tcPr>
            <w:tcW w:w="1080" w:type="dxa"/>
            <w:tcBorders>
              <w:top w:val="nil"/>
              <w:left w:val="nil"/>
              <w:bottom w:val="single" w:color="auto" w:sz="4" w:space="0"/>
              <w:right w:val="nil"/>
            </w:tcBorders>
            <w:shd w:val="clear" w:color="auto" w:fill="auto"/>
            <w:noWrap/>
            <w:vAlign w:val="bottom"/>
          </w:tcPr>
          <w:p w14:paraId="35B48ABD">
            <w:pPr>
              <w:widowControl/>
              <w:jc w:val="center"/>
              <w:rPr>
                <w:color w:val="000000"/>
                <w:kern w:val="0"/>
                <w:szCs w:val="21"/>
              </w:rPr>
            </w:pPr>
            <w:r>
              <w:rPr>
                <w:color w:val="000000"/>
                <w:kern w:val="0"/>
                <w:szCs w:val="21"/>
              </w:rPr>
              <w:t>0</w:t>
            </w:r>
          </w:p>
        </w:tc>
        <w:tc>
          <w:tcPr>
            <w:tcW w:w="1080" w:type="dxa"/>
            <w:tcBorders>
              <w:top w:val="nil"/>
              <w:left w:val="nil"/>
              <w:bottom w:val="single" w:color="auto" w:sz="4" w:space="0"/>
              <w:right w:val="nil"/>
            </w:tcBorders>
            <w:shd w:val="clear" w:color="auto" w:fill="auto"/>
            <w:noWrap/>
            <w:vAlign w:val="bottom"/>
          </w:tcPr>
          <w:p w14:paraId="0A8FE62E">
            <w:pPr>
              <w:widowControl/>
              <w:jc w:val="center"/>
              <w:rPr>
                <w:color w:val="000000"/>
                <w:kern w:val="0"/>
                <w:szCs w:val="21"/>
              </w:rPr>
            </w:pPr>
            <w:r>
              <w:rPr>
                <w:color w:val="000000"/>
                <w:kern w:val="0"/>
                <w:szCs w:val="21"/>
              </w:rPr>
              <w:t xml:space="preserve">0.00 </w:t>
            </w:r>
          </w:p>
        </w:tc>
      </w:tr>
      <w:tr w14:paraId="000CEC76">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771B3449">
            <w:pPr>
              <w:widowControl/>
              <w:jc w:val="left"/>
              <w:rPr>
                <w:color w:val="000000"/>
                <w:kern w:val="0"/>
                <w:szCs w:val="21"/>
              </w:rPr>
            </w:pPr>
          </w:p>
        </w:tc>
        <w:tc>
          <w:tcPr>
            <w:tcW w:w="1080" w:type="dxa"/>
            <w:vMerge w:val="restart"/>
            <w:tcBorders>
              <w:top w:val="nil"/>
              <w:left w:val="nil"/>
              <w:bottom w:val="nil"/>
              <w:right w:val="nil"/>
            </w:tcBorders>
            <w:shd w:val="clear" w:color="auto" w:fill="auto"/>
            <w:vAlign w:val="center"/>
          </w:tcPr>
          <w:p w14:paraId="22610C03">
            <w:pPr>
              <w:widowControl/>
              <w:jc w:val="center"/>
              <w:rPr>
                <w:color w:val="000000"/>
                <w:kern w:val="0"/>
                <w:szCs w:val="21"/>
              </w:rPr>
            </w:pPr>
            <w:r>
              <w:rPr>
                <w:color w:val="000000"/>
                <w:kern w:val="0"/>
                <w:szCs w:val="21"/>
              </w:rPr>
              <w:t>2018年4月</w:t>
            </w:r>
          </w:p>
        </w:tc>
        <w:tc>
          <w:tcPr>
            <w:tcW w:w="1080" w:type="dxa"/>
            <w:tcBorders>
              <w:top w:val="nil"/>
              <w:left w:val="nil"/>
              <w:bottom w:val="nil"/>
              <w:right w:val="nil"/>
            </w:tcBorders>
            <w:shd w:val="clear" w:color="auto" w:fill="auto"/>
            <w:vAlign w:val="center"/>
          </w:tcPr>
          <w:p w14:paraId="760F43E8">
            <w:pPr>
              <w:widowControl/>
              <w:jc w:val="center"/>
              <w:rPr>
                <w:color w:val="000000"/>
                <w:kern w:val="0"/>
                <w:szCs w:val="21"/>
              </w:rPr>
            </w:pPr>
            <w:r>
              <w:rPr>
                <w:rFonts w:hAnsi="宋体"/>
                <w:color w:val="000000"/>
                <w:kern w:val="0"/>
                <w:szCs w:val="21"/>
              </w:rPr>
              <w:t>奉贤爱森</w:t>
            </w:r>
          </w:p>
        </w:tc>
        <w:tc>
          <w:tcPr>
            <w:tcW w:w="1080" w:type="dxa"/>
            <w:tcBorders>
              <w:top w:val="nil"/>
              <w:left w:val="nil"/>
              <w:bottom w:val="nil"/>
              <w:right w:val="nil"/>
            </w:tcBorders>
            <w:shd w:val="clear" w:color="auto" w:fill="auto"/>
            <w:noWrap/>
            <w:vAlign w:val="bottom"/>
          </w:tcPr>
          <w:p w14:paraId="45E15B7E">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2178E840">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366C0735">
            <w:pPr>
              <w:widowControl/>
              <w:jc w:val="center"/>
              <w:rPr>
                <w:color w:val="000000"/>
                <w:kern w:val="0"/>
                <w:szCs w:val="21"/>
              </w:rPr>
            </w:pPr>
            <w:r>
              <w:rPr>
                <w:color w:val="000000"/>
                <w:kern w:val="0"/>
                <w:szCs w:val="21"/>
              </w:rPr>
              <w:t xml:space="preserve">0.00 </w:t>
            </w:r>
          </w:p>
        </w:tc>
      </w:tr>
      <w:tr w14:paraId="42E34203">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41C7351D">
            <w:pPr>
              <w:widowControl/>
              <w:jc w:val="left"/>
              <w:rPr>
                <w:color w:val="000000"/>
                <w:kern w:val="0"/>
                <w:szCs w:val="21"/>
              </w:rPr>
            </w:pPr>
          </w:p>
        </w:tc>
        <w:tc>
          <w:tcPr>
            <w:tcW w:w="1080" w:type="dxa"/>
            <w:vMerge w:val="continue"/>
            <w:tcBorders>
              <w:top w:val="nil"/>
              <w:left w:val="nil"/>
              <w:bottom w:val="nil"/>
              <w:right w:val="nil"/>
            </w:tcBorders>
            <w:vAlign w:val="center"/>
          </w:tcPr>
          <w:p w14:paraId="11256A5D">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53614138">
            <w:pPr>
              <w:widowControl/>
              <w:jc w:val="center"/>
              <w:rPr>
                <w:color w:val="000000"/>
                <w:kern w:val="0"/>
                <w:szCs w:val="21"/>
              </w:rPr>
            </w:pPr>
            <w:r>
              <w:rPr>
                <w:rFonts w:hAnsi="宋体"/>
                <w:color w:val="000000"/>
                <w:kern w:val="0"/>
                <w:szCs w:val="21"/>
              </w:rPr>
              <w:t>嘉定五丰</w:t>
            </w:r>
          </w:p>
        </w:tc>
        <w:tc>
          <w:tcPr>
            <w:tcW w:w="1080" w:type="dxa"/>
            <w:tcBorders>
              <w:top w:val="nil"/>
              <w:left w:val="nil"/>
              <w:bottom w:val="nil"/>
              <w:right w:val="nil"/>
            </w:tcBorders>
            <w:shd w:val="clear" w:color="auto" w:fill="auto"/>
            <w:noWrap/>
            <w:vAlign w:val="bottom"/>
          </w:tcPr>
          <w:p w14:paraId="2D114BFC">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6CA3922A">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145CAB74">
            <w:pPr>
              <w:widowControl/>
              <w:jc w:val="center"/>
              <w:rPr>
                <w:color w:val="000000"/>
                <w:kern w:val="0"/>
                <w:szCs w:val="21"/>
              </w:rPr>
            </w:pPr>
            <w:r>
              <w:rPr>
                <w:color w:val="000000"/>
                <w:kern w:val="0"/>
                <w:szCs w:val="21"/>
              </w:rPr>
              <w:t xml:space="preserve">0.00 </w:t>
            </w:r>
          </w:p>
        </w:tc>
      </w:tr>
      <w:tr w14:paraId="38EFBA22">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78EFC311">
            <w:pPr>
              <w:widowControl/>
              <w:jc w:val="left"/>
              <w:rPr>
                <w:color w:val="000000"/>
                <w:kern w:val="0"/>
                <w:szCs w:val="21"/>
              </w:rPr>
            </w:pPr>
          </w:p>
        </w:tc>
        <w:tc>
          <w:tcPr>
            <w:tcW w:w="1080" w:type="dxa"/>
            <w:vMerge w:val="continue"/>
            <w:tcBorders>
              <w:top w:val="nil"/>
              <w:left w:val="nil"/>
              <w:bottom w:val="nil"/>
              <w:right w:val="nil"/>
            </w:tcBorders>
            <w:vAlign w:val="center"/>
          </w:tcPr>
          <w:p w14:paraId="7188824F">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2C52A2E2">
            <w:pPr>
              <w:widowControl/>
              <w:jc w:val="center"/>
              <w:rPr>
                <w:color w:val="000000"/>
                <w:kern w:val="0"/>
                <w:szCs w:val="21"/>
              </w:rPr>
            </w:pPr>
            <w:r>
              <w:rPr>
                <w:rFonts w:hAnsi="宋体"/>
                <w:color w:val="000000"/>
                <w:kern w:val="0"/>
                <w:szCs w:val="21"/>
              </w:rPr>
              <w:t>松江松林</w:t>
            </w:r>
          </w:p>
        </w:tc>
        <w:tc>
          <w:tcPr>
            <w:tcW w:w="1080" w:type="dxa"/>
            <w:tcBorders>
              <w:top w:val="nil"/>
              <w:left w:val="nil"/>
              <w:bottom w:val="nil"/>
              <w:right w:val="nil"/>
            </w:tcBorders>
            <w:shd w:val="clear" w:color="auto" w:fill="auto"/>
            <w:noWrap/>
            <w:vAlign w:val="bottom"/>
          </w:tcPr>
          <w:p w14:paraId="302F5525">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6CC7088B">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040F6741">
            <w:pPr>
              <w:widowControl/>
              <w:jc w:val="center"/>
              <w:rPr>
                <w:color w:val="000000"/>
                <w:kern w:val="0"/>
                <w:szCs w:val="21"/>
              </w:rPr>
            </w:pPr>
            <w:r>
              <w:rPr>
                <w:color w:val="000000"/>
                <w:kern w:val="0"/>
                <w:szCs w:val="21"/>
              </w:rPr>
              <w:t xml:space="preserve">0.00 </w:t>
            </w:r>
          </w:p>
        </w:tc>
      </w:tr>
      <w:tr w14:paraId="10F79E65">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4EC8E1F4">
            <w:pPr>
              <w:widowControl/>
              <w:jc w:val="left"/>
              <w:rPr>
                <w:color w:val="000000"/>
                <w:kern w:val="0"/>
                <w:szCs w:val="21"/>
              </w:rPr>
            </w:pPr>
          </w:p>
        </w:tc>
        <w:tc>
          <w:tcPr>
            <w:tcW w:w="1080" w:type="dxa"/>
            <w:vMerge w:val="continue"/>
            <w:tcBorders>
              <w:top w:val="nil"/>
              <w:left w:val="nil"/>
              <w:bottom w:val="nil"/>
              <w:right w:val="nil"/>
            </w:tcBorders>
            <w:vAlign w:val="center"/>
          </w:tcPr>
          <w:p w14:paraId="49C1E8BE">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766A4A09">
            <w:pPr>
              <w:widowControl/>
              <w:jc w:val="center"/>
              <w:rPr>
                <w:color w:val="000000"/>
                <w:kern w:val="0"/>
                <w:szCs w:val="21"/>
              </w:rPr>
            </w:pPr>
            <w:r>
              <w:rPr>
                <w:rFonts w:hAnsi="宋体"/>
                <w:color w:val="000000"/>
                <w:kern w:val="0"/>
                <w:szCs w:val="21"/>
              </w:rPr>
              <w:t>农贸市场</w:t>
            </w:r>
          </w:p>
        </w:tc>
        <w:tc>
          <w:tcPr>
            <w:tcW w:w="1080" w:type="dxa"/>
            <w:tcBorders>
              <w:top w:val="nil"/>
              <w:left w:val="nil"/>
              <w:bottom w:val="nil"/>
              <w:right w:val="nil"/>
            </w:tcBorders>
            <w:shd w:val="clear" w:color="auto" w:fill="auto"/>
            <w:noWrap/>
            <w:vAlign w:val="bottom"/>
          </w:tcPr>
          <w:p w14:paraId="5A7D8C59">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780BAAA6">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2F0A5E22">
            <w:pPr>
              <w:widowControl/>
              <w:jc w:val="center"/>
              <w:rPr>
                <w:color w:val="000000"/>
                <w:kern w:val="0"/>
                <w:szCs w:val="21"/>
              </w:rPr>
            </w:pPr>
            <w:r>
              <w:rPr>
                <w:color w:val="000000"/>
                <w:kern w:val="0"/>
                <w:szCs w:val="21"/>
              </w:rPr>
              <w:t xml:space="preserve">0.00 </w:t>
            </w:r>
          </w:p>
        </w:tc>
      </w:tr>
      <w:tr w14:paraId="6420C368">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35D68478">
            <w:pPr>
              <w:widowControl/>
              <w:jc w:val="left"/>
              <w:rPr>
                <w:color w:val="000000"/>
                <w:kern w:val="0"/>
                <w:szCs w:val="21"/>
              </w:rPr>
            </w:pPr>
          </w:p>
        </w:tc>
        <w:tc>
          <w:tcPr>
            <w:tcW w:w="1080" w:type="dxa"/>
            <w:vMerge w:val="continue"/>
            <w:tcBorders>
              <w:top w:val="nil"/>
              <w:left w:val="nil"/>
              <w:bottom w:val="nil"/>
              <w:right w:val="nil"/>
            </w:tcBorders>
            <w:vAlign w:val="center"/>
          </w:tcPr>
          <w:p w14:paraId="34C440E6">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142892C4">
            <w:pPr>
              <w:widowControl/>
              <w:jc w:val="center"/>
              <w:rPr>
                <w:color w:val="000000"/>
                <w:kern w:val="0"/>
                <w:szCs w:val="21"/>
              </w:rPr>
            </w:pPr>
            <w:r>
              <w:rPr>
                <w:rFonts w:hAnsi="宋体"/>
                <w:color w:val="000000"/>
                <w:kern w:val="0"/>
                <w:szCs w:val="21"/>
              </w:rPr>
              <w:t>超市</w:t>
            </w:r>
          </w:p>
        </w:tc>
        <w:tc>
          <w:tcPr>
            <w:tcW w:w="1080" w:type="dxa"/>
            <w:tcBorders>
              <w:top w:val="nil"/>
              <w:left w:val="nil"/>
              <w:bottom w:val="nil"/>
              <w:right w:val="nil"/>
            </w:tcBorders>
            <w:shd w:val="clear" w:color="auto" w:fill="auto"/>
            <w:noWrap/>
            <w:vAlign w:val="bottom"/>
          </w:tcPr>
          <w:p w14:paraId="751E6279">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47AA8584">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44090A3D">
            <w:pPr>
              <w:widowControl/>
              <w:jc w:val="center"/>
              <w:rPr>
                <w:color w:val="000000"/>
                <w:kern w:val="0"/>
                <w:szCs w:val="21"/>
              </w:rPr>
            </w:pPr>
            <w:r>
              <w:rPr>
                <w:color w:val="000000"/>
                <w:kern w:val="0"/>
                <w:szCs w:val="21"/>
              </w:rPr>
              <w:t xml:space="preserve">0.00 </w:t>
            </w:r>
          </w:p>
        </w:tc>
      </w:tr>
      <w:tr w14:paraId="4BB87583">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2B3F209E">
            <w:pPr>
              <w:widowControl/>
              <w:jc w:val="left"/>
              <w:rPr>
                <w:color w:val="000000"/>
                <w:kern w:val="0"/>
                <w:szCs w:val="21"/>
              </w:rPr>
            </w:pPr>
          </w:p>
        </w:tc>
        <w:tc>
          <w:tcPr>
            <w:tcW w:w="1080" w:type="dxa"/>
            <w:vMerge w:val="continue"/>
            <w:tcBorders>
              <w:top w:val="nil"/>
              <w:left w:val="nil"/>
              <w:bottom w:val="nil"/>
              <w:right w:val="nil"/>
            </w:tcBorders>
            <w:vAlign w:val="center"/>
          </w:tcPr>
          <w:p w14:paraId="23532830">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56939909">
            <w:pPr>
              <w:widowControl/>
              <w:jc w:val="center"/>
              <w:rPr>
                <w:b/>
                <w:bCs/>
                <w:color w:val="000000"/>
                <w:kern w:val="0"/>
                <w:szCs w:val="21"/>
              </w:rPr>
            </w:pPr>
            <w:r>
              <w:rPr>
                <w:rFonts w:hAnsi="宋体"/>
                <w:b/>
                <w:bCs/>
                <w:color w:val="000000"/>
                <w:kern w:val="0"/>
                <w:szCs w:val="21"/>
              </w:rPr>
              <w:t>小计</w:t>
            </w:r>
          </w:p>
        </w:tc>
        <w:tc>
          <w:tcPr>
            <w:tcW w:w="1080" w:type="dxa"/>
            <w:tcBorders>
              <w:top w:val="nil"/>
              <w:left w:val="nil"/>
              <w:bottom w:val="nil"/>
              <w:right w:val="nil"/>
            </w:tcBorders>
            <w:shd w:val="clear" w:color="auto" w:fill="auto"/>
            <w:noWrap/>
            <w:vAlign w:val="bottom"/>
          </w:tcPr>
          <w:p w14:paraId="0B1B2E81">
            <w:pPr>
              <w:widowControl/>
              <w:jc w:val="center"/>
              <w:rPr>
                <w:color w:val="000000"/>
                <w:kern w:val="0"/>
                <w:szCs w:val="21"/>
              </w:rPr>
            </w:pPr>
            <w:r>
              <w:rPr>
                <w:color w:val="000000"/>
                <w:kern w:val="0"/>
                <w:szCs w:val="21"/>
              </w:rPr>
              <w:t>150</w:t>
            </w:r>
          </w:p>
        </w:tc>
        <w:tc>
          <w:tcPr>
            <w:tcW w:w="1080" w:type="dxa"/>
            <w:tcBorders>
              <w:top w:val="nil"/>
              <w:left w:val="nil"/>
              <w:bottom w:val="nil"/>
              <w:right w:val="nil"/>
            </w:tcBorders>
            <w:shd w:val="clear" w:color="auto" w:fill="auto"/>
            <w:noWrap/>
            <w:vAlign w:val="bottom"/>
          </w:tcPr>
          <w:p w14:paraId="22F6C6B3">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3F27A141">
            <w:pPr>
              <w:widowControl/>
              <w:jc w:val="center"/>
              <w:rPr>
                <w:color w:val="000000"/>
                <w:kern w:val="0"/>
                <w:szCs w:val="21"/>
              </w:rPr>
            </w:pPr>
            <w:r>
              <w:rPr>
                <w:color w:val="000000"/>
                <w:kern w:val="0"/>
                <w:szCs w:val="21"/>
              </w:rPr>
              <w:t xml:space="preserve">0.00 </w:t>
            </w:r>
          </w:p>
        </w:tc>
      </w:tr>
      <w:tr w14:paraId="5A197E44">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7C48DFC1">
            <w:pPr>
              <w:widowControl/>
              <w:jc w:val="left"/>
              <w:rPr>
                <w:color w:val="000000"/>
                <w:kern w:val="0"/>
                <w:szCs w:val="21"/>
              </w:rPr>
            </w:pPr>
          </w:p>
        </w:tc>
        <w:tc>
          <w:tcPr>
            <w:tcW w:w="1080" w:type="dxa"/>
            <w:vMerge w:val="restart"/>
            <w:tcBorders>
              <w:top w:val="single" w:color="auto" w:sz="4" w:space="0"/>
              <w:left w:val="nil"/>
              <w:bottom w:val="single" w:color="000000" w:sz="4" w:space="0"/>
              <w:right w:val="nil"/>
            </w:tcBorders>
            <w:shd w:val="clear" w:color="auto" w:fill="auto"/>
            <w:vAlign w:val="center"/>
          </w:tcPr>
          <w:p w14:paraId="6C1694AA">
            <w:pPr>
              <w:widowControl/>
              <w:jc w:val="center"/>
              <w:rPr>
                <w:color w:val="000000"/>
                <w:kern w:val="0"/>
                <w:szCs w:val="21"/>
              </w:rPr>
            </w:pPr>
            <w:r>
              <w:rPr>
                <w:color w:val="000000"/>
                <w:kern w:val="0"/>
                <w:szCs w:val="21"/>
              </w:rPr>
              <w:t>2018年7月</w:t>
            </w:r>
          </w:p>
        </w:tc>
        <w:tc>
          <w:tcPr>
            <w:tcW w:w="1080" w:type="dxa"/>
            <w:tcBorders>
              <w:top w:val="single" w:color="auto" w:sz="4" w:space="0"/>
              <w:left w:val="nil"/>
              <w:bottom w:val="nil"/>
              <w:right w:val="nil"/>
            </w:tcBorders>
            <w:shd w:val="clear" w:color="auto" w:fill="auto"/>
            <w:vAlign w:val="center"/>
          </w:tcPr>
          <w:p w14:paraId="78CF3679">
            <w:pPr>
              <w:widowControl/>
              <w:jc w:val="center"/>
              <w:rPr>
                <w:color w:val="000000"/>
                <w:kern w:val="0"/>
                <w:szCs w:val="21"/>
              </w:rPr>
            </w:pPr>
            <w:r>
              <w:rPr>
                <w:rFonts w:hAnsi="宋体"/>
                <w:color w:val="000000"/>
                <w:kern w:val="0"/>
                <w:szCs w:val="21"/>
              </w:rPr>
              <w:t>奉贤爱森</w:t>
            </w:r>
          </w:p>
        </w:tc>
        <w:tc>
          <w:tcPr>
            <w:tcW w:w="1080" w:type="dxa"/>
            <w:tcBorders>
              <w:top w:val="single" w:color="auto" w:sz="4" w:space="0"/>
              <w:left w:val="nil"/>
              <w:bottom w:val="nil"/>
              <w:right w:val="nil"/>
            </w:tcBorders>
            <w:shd w:val="clear" w:color="auto" w:fill="auto"/>
            <w:noWrap/>
            <w:vAlign w:val="bottom"/>
          </w:tcPr>
          <w:p w14:paraId="03A0B22A">
            <w:pPr>
              <w:widowControl/>
              <w:jc w:val="center"/>
              <w:rPr>
                <w:color w:val="000000"/>
                <w:kern w:val="0"/>
                <w:szCs w:val="21"/>
              </w:rPr>
            </w:pPr>
            <w:r>
              <w:rPr>
                <w:color w:val="000000"/>
                <w:kern w:val="0"/>
                <w:szCs w:val="21"/>
              </w:rPr>
              <w:t>30</w:t>
            </w:r>
          </w:p>
        </w:tc>
        <w:tc>
          <w:tcPr>
            <w:tcW w:w="1080" w:type="dxa"/>
            <w:tcBorders>
              <w:top w:val="single" w:color="auto" w:sz="4" w:space="0"/>
              <w:left w:val="nil"/>
              <w:bottom w:val="nil"/>
              <w:right w:val="nil"/>
            </w:tcBorders>
            <w:shd w:val="clear" w:color="auto" w:fill="auto"/>
            <w:noWrap/>
            <w:vAlign w:val="bottom"/>
          </w:tcPr>
          <w:p w14:paraId="2C0F6059">
            <w:pPr>
              <w:widowControl/>
              <w:jc w:val="center"/>
              <w:rPr>
                <w:color w:val="000000"/>
                <w:kern w:val="0"/>
                <w:szCs w:val="21"/>
              </w:rPr>
            </w:pPr>
            <w:r>
              <w:rPr>
                <w:color w:val="000000"/>
                <w:kern w:val="0"/>
                <w:szCs w:val="21"/>
              </w:rPr>
              <w:t>0</w:t>
            </w:r>
          </w:p>
        </w:tc>
        <w:tc>
          <w:tcPr>
            <w:tcW w:w="1080" w:type="dxa"/>
            <w:tcBorders>
              <w:top w:val="single" w:color="auto" w:sz="4" w:space="0"/>
              <w:left w:val="nil"/>
              <w:bottom w:val="nil"/>
              <w:right w:val="nil"/>
            </w:tcBorders>
            <w:shd w:val="clear" w:color="auto" w:fill="auto"/>
            <w:noWrap/>
            <w:vAlign w:val="bottom"/>
          </w:tcPr>
          <w:p w14:paraId="36C7DA3E">
            <w:pPr>
              <w:widowControl/>
              <w:jc w:val="center"/>
              <w:rPr>
                <w:color w:val="000000"/>
                <w:kern w:val="0"/>
                <w:szCs w:val="21"/>
              </w:rPr>
            </w:pPr>
            <w:r>
              <w:rPr>
                <w:color w:val="000000"/>
                <w:kern w:val="0"/>
                <w:szCs w:val="21"/>
              </w:rPr>
              <w:t xml:space="preserve">0.00 </w:t>
            </w:r>
          </w:p>
        </w:tc>
      </w:tr>
      <w:tr w14:paraId="1EC45314">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0526801D">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7761FA5D">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4EF1C4E1">
            <w:pPr>
              <w:widowControl/>
              <w:jc w:val="center"/>
              <w:rPr>
                <w:color w:val="000000"/>
                <w:kern w:val="0"/>
                <w:szCs w:val="21"/>
              </w:rPr>
            </w:pPr>
            <w:r>
              <w:rPr>
                <w:rFonts w:hAnsi="宋体"/>
                <w:color w:val="000000"/>
                <w:kern w:val="0"/>
                <w:szCs w:val="21"/>
              </w:rPr>
              <w:t>嘉定五丰</w:t>
            </w:r>
          </w:p>
        </w:tc>
        <w:tc>
          <w:tcPr>
            <w:tcW w:w="1080" w:type="dxa"/>
            <w:tcBorders>
              <w:top w:val="nil"/>
              <w:left w:val="nil"/>
              <w:bottom w:val="nil"/>
              <w:right w:val="nil"/>
            </w:tcBorders>
            <w:shd w:val="clear" w:color="auto" w:fill="auto"/>
            <w:noWrap/>
            <w:vAlign w:val="bottom"/>
          </w:tcPr>
          <w:p w14:paraId="45B84156">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215D5765">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68BE98A6">
            <w:pPr>
              <w:widowControl/>
              <w:jc w:val="center"/>
              <w:rPr>
                <w:color w:val="000000"/>
                <w:kern w:val="0"/>
                <w:szCs w:val="21"/>
              </w:rPr>
            </w:pPr>
            <w:r>
              <w:rPr>
                <w:color w:val="000000"/>
                <w:kern w:val="0"/>
                <w:szCs w:val="21"/>
              </w:rPr>
              <w:t xml:space="preserve">0.00 </w:t>
            </w:r>
          </w:p>
        </w:tc>
      </w:tr>
      <w:tr w14:paraId="395268CD">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4F93BD7F">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65DC39A2">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35FADBB5">
            <w:pPr>
              <w:widowControl/>
              <w:jc w:val="center"/>
              <w:rPr>
                <w:color w:val="000000"/>
                <w:kern w:val="0"/>
                <w:szCs w:val="21"/>
              </w:rPr>
            </w:pPr>
            <w:r>
              <w:rPr>
                <w:rFonts w:hAnsi="宋体"/>
                <w:color w:val="000000"/>
                <w:kern w:val="0"/>
                <w:szCs w:val="21"/>
              </w:rPr>
              <w:t>松江松林</w:t>
            </w:r>
          </w:p>
        </w:tc>
        <w:tc>
          <w:tcPr>
            <w:tcW w:w="1080" w:type="dxa"/>
            <w:tcBorders>
              <w:top w:val="nil"/>
              <w:left w:val="nil"/>
              <w:bottom w:val="nil"/>
              <w:right w:val="nil"/>
            </w:tcBorders>
            <w:shd w:val="clear" w:color="auto" w:fill="auto"/>
            <w:noWrap/>
            <w:vAlign w:val="bottom"/>
          </w:tcPr>
          <w:p w14:paraId="3711176E">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7B67D65F">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3725F248">
            <w:pPr>
              <w:widowControl/>
              <w:jc w:val="center"/>
              <w:rPr>
                <w:color w:val="000000"/>
                <w:kern w:val="0"/>
                <w:szCs w:val="21"/>
              </w:rPr>
            </w:pPr>
            <w:r>
              <w:rPr>
                <w:color w:val="000000"/>
                <w:kern w:val="0"/>
                <w:szCs w:val="21"/>
              </w:rPr>
              <w:t xml:space="preserve">0.00 </w:t>
            </w:r>
          </w:p>
        </w:tc>
      </w:tr>
      <w:tr w14:paraId="17EF0651">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72B9B5BE">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76F3BF6A">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7F2CD65E">
            <w:pPr>
              <w:widowControl/>
              <w:jc w:val="center"/>
              <w:rPr>
                <w:color w:val="000000"/>
                <w:kern w:val="0"/>
                <w:szCs w:val="21"/>
              </w:rPr>
            </w:pPr>
            <w:r>
              <w:rPr>
                <w:rFonts w:hAnsi="宋体"/>
                <w:color w:val="000000"/>
                <w:kern w:val="0"/>
                <w:szCs w:val="21"/>
              </w:rPr>
              <w:t>农贸市场</w:t>
            </w:r>
          </w:p>
        </w:tc>
        <w:tc>
          <w:tcPr>
            <w:tcW w:w="1080" w:type="dxa"/>
            <w:tcBorders>
              <w:top w:val="nil"/>
              <w:left w:val="nil"/>
              <w:bottom w:val="nil"/>
              <w:right w:val="nil"/>
            </w:tcBorders>
            <w:shd w:val="clear" w:color="auto" w:fill="auto"/>
            <w:noWrap/>
            <w:vAlign w:val="bottom"/>
          </w:tcPr>
          <w:p w14:paraId="7F7A0435">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0DCF7720">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258E9EFE">
            <w:pPr>
              <w:widowControl/>
              <w:jc w:val="center"/>
              <w:rPr>
                <w:color w:val="000000"/>
                <w:kern w:val="0"/>
                <w:szCs w:val="21"/>
              </w:rPr>
            </w:pPr>
            <w:r>
              <w:rPr>
                <w:color w:val="000000"/>
                <w:kern w:val="0"/>
                <w:szCs w:val="21"/>
              </w:rPr>
              <w:t xml:space="preserve">0.00 </w:t>
            </w:r>
          </w:p>
        </w:tc>
      </w:tr>
      <w:tr w14:paraId="34A7016B">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60951EA5">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4DED3CEF">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1E324D5F">
            <w:pPr>
              <w:widowControl/>
              <w:jc w:val="center"/>
              <w:rPr>
                <w:color w:val="000000"/>
                <w:kern w:val="0"/>
                <w:szCs w:val="21"/>
              </w:rPr>
            </w:pPr>
            <w:r>
              <w:rPr>
                <w:rFonts w:hAnsi="宋体"/>
                <w:color w:val="000000"/>
                <w:kern w:val="0"/>
                <w:szCs w:val="21"/>
              </w:rPr>
              <w:t>超市</w:t>
            </w:r>
          </w:p>
        </w:tc>
        <w:tc>
          <w:tcPr>
            <w:tcW w:w="1080" w:type="dxa"/>
            <w:tcBorders>
              <w:top w:val="nil"/>
              <w:left w:val="nil"/>
              <w:bottom w:val="nil"/>
              <w:right w:val="nil"/>
            </w:tcBorders>
            <w:shd w:val="clear" w:color="auto" w:fill="auto"/>
            <w:noWrap/>
            <w:vAlign w:val="bottom"/>
          </w:tcPr>
          <w:p w14:paraId="3F99B1F2">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482F7F97">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2E0C6B6D">
            <w:pPr>
              <w:widowControl/>
              <w:jc w:val="center"/>
              <w:rPr>
                <w:color w:val="000000"/>
                <w:kern w:val="0"/>
                <w:szCs w:val="21"/>
              </w:rPr>
            </w:pPr>
            <w:r>
              <w:rPr>
                <w:color w:val="000000"/>
                <w:kern w:val="0"/>
                <w:szCs w:val="21"/>
              </w:rPr>
              <w:t xml:space="preserve">0.00 </w:t>
            </w:r>
          </w:p>
        </w:tc>
      </w:tr>
      <w:tr w14:paraId="43335ED7">
        <w:tblPrEx>
          <w:tblCellMar>
            <w:top w:w="0" w:type="dxa"/>
            <w:left w:w="108" w:type="dxa"/>
            <w:bottom w:w="0" w:type="dxa"/>
            <w:right w:w="108" w:type="dxa"/>
          </w:tblCellMar>
        </w:tblPrEx>
        <w:trPr>
          <w:trHeight w:val="270" w:hRule="atLeast"/>
          <w:jc w:val="center"/>
        </w:trPr>
        <w:tc>
          <w:tcPr>
            <w:tcW w:w="1080" w:type="dxa"/>
            <w:vMerge w:val="continue"/>
            <w:tcBorders>
              <w:top w:val="single" w:color="000000" w:sz="4" w:space="0"/>
              <w:left w:val="nil"/>
              <w:right w:val="nil"/>
            </w:tcBorders>
            <w:vAlign w:val="center"/>
          </w:tcPr>
          <w:p w14:paraId="1D30434A">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3D24CAB0">
            <w:pPr>
              <w:widowControl/>
              <w:jc w:val="left"/>
              <w:rPr>
                <w:color w:val="000000"/>
                <w:kern w:val="0"/>
                <w:szCs w:val="21"/>
              </w:rPr>
            </w:pPr>
          </w:p>
        </w:tc>
        <w:tc>
          <w:tcPr>
            <w:tcW w:w="1080" w:type="dxa"/>
            <w:tcBorders>
              <w:top w:val="nil"/>
              <w:left w:val="nil"/>
              <w:bottom w:val="single" w:color="auto" w:sz="4" w:space="0"/>
              <w:right w:val="nil"/>
            </w:tcBorders>
            <w:shd w:val="clear" w:color="auto" w:fill="auto"/>
            <w:vAlign w:val="center"/>
          </w:tcPr>
          <w:p w14:paraId="47D56873">
            <w:pPr>
              <w:widowControl/>
              <w:jc w:val="center"/>
              <w:rPr>
                <w:b/>
                <w:bCs/>
                <w:color w:val="000000"/>
                <w:kern w:val="0"/>
                <w:szCs w:val="21"/>
              </w:rPr>
            </w:pPr>
            <w:r>
              <w:rPr>
                <w:rFonts w:hAnsi="宋体"/>
                <w:b/>
                <w:bCs/>
                <w:color w:val="000000"/>
                <w:kern w:val="0"/>
                <w:szCs w:val="21"/>
              </w:rPr>
              <w:t>小计</w:t>
            </w:r>
          </w:p>
        </w:tc>
        <w:tc>
          <w:tcPr>
            <w:tcW w:w="1080" w:type="dxa"/>
            <w:tcBorders>
              <w:top w:val="nil"/>
              <w:left w:val="nil"/>
              <w:bottom w:val="single" w:color="auto" w:sz="4" w:space="0"/>
              <w:right w:val="nil"/>
            </w:tcBorders>
            <w:shd w:val="clear" w:color="auto" w:fill="auto"/>
            <w:noWrap/>
            <w:vAlign w:val="bottom"/>
          </w:tcPr>
          <w:p w14:paraId="5F05A15D">
            <w:pPr>
              <w:widowControl/>
              <w:jc w:val="center"/>
              <w:rPr>
                <w:color w:val="000000"/>
                <w:kern w:val="0"/>
                <w:szCs w:val="21"/>
              </w:rPr>
            </w:pPr>
            <w:r>
              <w:rPr>
                <w:color w:val="000000"/>
                <w:kern w:val="0"/>
                <w:szCs w:val="21"/>
              </w:rPr>
              <w:t>150</w:t>
            </w:r>
          </w:p>
        </w:tc>
        <w:tc>
          <w:tcPr>
            <w:tcW w:w="1080" w:type="dxa"/>
            <w:tcBorders>
              <w:top w:val="nil"/>
              <w:left w:val="nil"/>
              <w:bottom w:val="single" w:color="auto" w:sz="4" w:space="0"/>
              <w:right w:val="nil"/>
            </w:tcBorders>
            <w:shd w:val="clear" w:color="auto" w:fill="auto"/>
            <w:noWrap/>
            <w:vAlign w:val="bottom"/>
          </w:tcPr>
          <w:p w14:paraId="04648D6C">
            <w:pPr>
              <w:widowControl/>
              <w:jc w:val="center"/>
              <w:rPr>
                <w:color w:val="000000"/>
                <w:kern w:val="0"/>
                <w:szCs w:val="21"/>
              </w:rPr>
            </w:pPr>
            <w:r>
              <w:rPr>
                <w:color w:val="000000"/>
                <w:kern w:val="0"/>
                <w:szCs w:val="21"/>
              </w:rPr>
              <w:t>0</w:t>
            </w:r>
          </w:p>
        </w:tc>
        <w:tc>
          <w:tcPr>
            <w:tcW w:w="1080" w:type="dxa"/>
            <w:tcBorders>
              <w:top w:val="nil"/>
              <w:left w:val="nil"/>
              <w:bottom w:val="single" w:color="auto" w:sz="4" w:space="0"/>
              <w:right w:val="nil"/>
            </w:tcBorders>
            <w:shd w:val="clear" w:color="auto" w:fill="auto"/>
            <w:noWrap/>
            <w:vAlign w:val="bottom"/>
          </w:tcPr>
          <w:p w14:paraId="60FF3821">
            <w:pPr>
              <w:widowControl/>
              <w:jc w:val="center"/>
              <w:rPr>
                <w:color w:val="000000"/>
                <w:kern w:val="0"/>
                <w:szCs w:val="21"/>
              </w:rPr>
            </w:pPr>
            <w:r>
              <w:rPr>
                <w:color w:val="000000"/>
                <w:kern w:val="0"/>
                <w:szCs w:val="21"/>
              </w:rPr>
              <w:t xml:space="preserve">0.00 </w:t>
            </w:r>
          </w:p>
        </w:tc>
      </w:tr>
      <w:tr w14:paraId="1156DEB6">
        <w:tblPrEx>
          <w:tblCellMar>
            <w:top w:w="0" w:type="dxa"/>
            <w:left w:w="108" w:type="dxa"/>
            <w:bottom w:w="0" w:type="dxa"/>
            <w:right w:w="108" w:type="dxa"/>
          </w:tblCellMar>
        </w:tblPrEx>
        <w:trPr>
          <w:trHeight w:val="270" w:hRule="atLeast"/>
          <w:jc w:val="center"/>
        </w:trPr>
        <w:tc>
          <w:tcPr>
            <w:tcW w:w="3240" w:type="dxa"/>
            <w:gridSpan w:val="3"/>
            <w:tcBorders>
              <w:top w:val="nil"/>
              <w:left w:val="nil"/>
              <w:bottom w:val="single" w:color="000000" w:sz="4" w:space="0"/>
              <w:right w:val="nil"/>
            </w:tcBorders>
            <w:shd w:val="clear" w:color="auto" w:fill="auto"/>
            <w:noWrap/>
            <w:vAlign w:val="center"/>
          </w:tcPr>
          <w:p w14:paraId="7613DE78">
            <w:pPr>
              <w:widowControl/>
              <w:jc w:val="center"/>
              <w:rPr>
                <w:b/>
                <w:bCs/>
                <w:color w:val="000000"/>
                <w:kern w:val="0"/>
                <w:szCs w:val="21"/>
              </w:rPr>
            </w:pPr>
            <w:r>
              <w:rPr>
                <w:rFonts w:hAnsi="宋体"/>
                <w:b/>
                <w:bCs/>
                <w:color w:val="000000"/>
                <w:kern w:val="0"/>
                <w:szCs w:val="21"/>
              </w:rPr>
              <w:t>合计</w:t>
            </w:r>
          </w:p>
        </w:tc>
        <w:tc>
          <w:tcPr>
            <w:tcW w:w="1080" w:type="dxa"/>
            <w:tcBorders>
              <w:top w:val="nil"/>
              <w:left w:val="nil"/>
              <w:bottom w:val="single" w:color="auto" w:sz="4" w:space="0"/>
              <w:right w:val="nil"/>
            </w:tcBorders>
            <w:shd w:val="clear" w:color="auto" w:fill="auto"/>
            <w:noWrap/>
            <w:vAlign w:val="center"/>
          </w:tcPr>
          <w:p w14:paraId="5C562451">
            <w:pPr>
              <w:widowControl/>
              <w:jc w:val="center"/>
              <w:rPr>
                <w:b/>
                <w:bCs/>
                <w:color w:val="000000"/>
                <w:kern w:val="0"/>
                <w:szCs w:val="21"/>
              </w:rPr>
            </w:pPr>
            <w:r>
              <w:rPr>
                <w:b/>
                <w:bCs/>
                <w:color w:val="000000"/>
                <w:kern w:val="0"/>
                <w:szCs w:val="21"/>
              </w:rPr>
              <w:t>1129</w:t>
            </w:r>
          </w:p>
        </w:tc>
        <w:tc>
          <w:tcPr>
            <w:tcW w:w="1080" w:type="dxa"/>
            <w:tcBorders>
              <w:top w:val="nil"/>
              <w:left w:val="nil"/>
              <w:bottom w:val="single" w:color="auto" w:sz="4" w:space="0"/>
              <w:right w:val="nil"/>
            </w:tcBorders>
            <w:shd w:val="clear" w:color="auto" w:fill="auto"/>
            <w:noWrap/>
            <w:vAlign w:val="center"/>
          </w:tcPr>
          <w:p w14:paraId="49D9518B">
            <w:pPr>
              <w:widowControl/>
              <w:jc w:val="center"/>
              <w:rPr>
                <w:b/>
                <w:bCs/>
                <w:color w:val="000000"/>
                <w:kern w:val="0"/>
                <w:szCs w:val="21"/>
              </w:rPr>
            </w:pPr>
            <w:r>
              <w:rPr>
                <w:b/>
                <w:bCs/>
                <w:color w:val="000000"/>
                <w:kern w:val="0"/>
                <w:szCs w:val="21"/>
              </w:rPr>
              <w:t>6</w:t>
            </w:r>
          </w:p>
        </w:tc>
        <w:tc>
          <w:tcPr>
            <w:tcW w:w="1080" w:type="dxa"/>
            <w:tcBorders>
              <w:top w:val="nil"/>
              <w:left w:val="nil"/>
              <w:bottom w:val="single" w:color="auto" w:sz="4" w:space="0"/>
              <w:right w:val="nil"/>
            </w:tcBorders>
            <w:shd w:val="clear" w:color="auto" w:fill="auto"/>
            <w:noWrap/>
            <w:vAlign w:val="center"/>
          </w:tcPr>
          <w:p w14:paraId="5073F22B">
            <w:pPr>
              <w:widowControl/>
              <w:jc w:val="center"/>
              <w:rPr>
                <w:b/>
                <w:bCs/>
                <w:color w:val="000000"/>
                <w:kern w:val="0"/>
                <w:szCs w:val="21"/>
              </w:rPr>
            </w:pPr>
            <w:r>
              <w:rPr>
                <w:b/>
                <w:bCs/>
                <w:color w:val="000000"/>
                <w:kern w:val="0"/>
                <w:szCs w:val="21"/>
              </w:rPr>
              <w:t>0.53</w:t>
            </w:r>
          </w:p>
        </w:tc>
      </w:tr>
      <w:tr w14:paraId="6CBAEE3D">
        <w:tblPrEx>
          <w:tblCellMar>
            <w:top w:w="0" w:type="dxa"/>
            <w:left w:w="108" w:type="dxa"/>
            <w:bottom w:w="0" w:type="dxa"/>
            <w:right w:w="108" w:type="dxa"/>
          </w:tblCellMar>
        </w:tblPrEx>
        <w:trPr>
          <w:trHeight w:val="270" w:hRule="atLeast"/>
          <w:jc w:val="center"/>
        </w:trPr>
        <w:tc>
          <w:tcPr>
            <w:tcW w:w="1080" w:type="dxa"/>
            <w:vMerge w:val="restart"/>
            <w:tcBorders>
              <w:top w:val="nil"/>
              <w:left w:val="nil"/>
              <w:bottom w:val="nil"/>
              <w:right w:val="nil"/>
            </w:tcBorders>
            <w:shd w:val="clear" w:color="auto" w:fill="auto"/>
            <w:vAlign w:val="center"/>
          </w:tcPr>
          <w:p w14:paraId="343AC263">
            <w:pPr>
              <w:widowControl/>
              <w:jc w:val="center"/>
              <w:rPr>
                <w:color w:val="000000"/>
                <w:kern w:val="0"/>
                <w:szCs w:val="21"/>
              </w:rPr>
            </w:pPr>
            <w:r>
              <w:rPr>
                <w:rFonts w:hAnsi="宋体"/>
                <w:color w:val="000000"/>
                <w:kern w:val="0"/>
                <w:szCs w:val="21"/>
              </w:rPr>
              <w:t>重庆</w:t>
            </w:r>
          </w:p>
        </w:tc>
        <w:tc>
          <w:tcPr>
            <w:tcW w:w="1080" w:type="dxa"/>
            <w:vMerge w:val="restart"/>
            <w:tcBorders>
              <w:top w:val="nil"/>
              <w:left w:val="nil"/>
              <w:bottom w:val="nil"/>
              <w:right w:val="nil"/>
            </w:tcBorders>
            <w:shd w:val="clear" w:color="auto" w:fill="auto"/>
            <w:vAlign w:val="center"/>
          </w:tcPr>
          <w:p w14:paraId="6BF28262">
            <w:pPr>
              <w:widowControl/>
              <w:jc w:val="center"/>
              <w:rPr>
                <w:color w:val="000000"/>
                <w:kern w:val="0"/>
                <w:szCs w:val="21"/>
              </w:rPr>
            </w:pPr>
            <w:r>
              <w:rPr>
                <w:color w:val="000000"/>
                <w:kern w:val="0"/>
                <w:szCs w:val="21"/>
              </w:rPr>
              <w:t>2015</w:t>
            </w:r>
            <w:r>
              <w:rPr>
                <w:rFonts w:hAnsi="Calibri"/>
                <w:color w:val="000000"/>
                <w:kern w:val="0"/>
                <w:szCs w:val="21"/>
              </w:rPr>
              <w:t>年</w:t>
            </w:r>
            <w:r>
              <w:rPr>
                <w:color w:val="000000"/>
                <w:kern w:val="0"/>
                <w:szCs w:val="21"/>
              </w:rPr>
              <w:t>9</w:t>
            </w:r>
            <w:r>
              <w:rPr>
                <w:rFonts w:hAnsi="Calibri"/>
                <w:color w:val="000000"/>
                <w:kern w:val="0"/>
                <w:szCs w:val="21"/>
              </w:rPr>
              <w:t>月</w:t>
            </w:r>
          </w:p>
        </w:tc>
        <w:tc>
          <w:tcPr>
            <w:tcW w:w="1080" w:type="dxa"/>
            <w:tcBorders>
              <w:top w:val="nil"/>
              <w:left w:val="nil"/>
              <w:bottom w:val="nil"/>
              <w:right w:val="nil"/>
            </w:tcBorders>
            <w:shd w:val="clear" w:color="auto" w:fill="auto"/>
            <w:vAlign w:val="center"/>
          </w:tcPr>
          <w:p w14:paraId="77F7D0AC">
            <w:pPr>
              <w:widowControl/>
              <w:jc w:val="center"/>
              <w:rPr>
                <w:color w:val="000000"/>
                <w:kern w:val="0"/>
                <w:szCs w:val="21"/>
              </w:rPr>
            </w:pPr>
            <w:r>
              <w:rPr>
                <w:rFonts w:hAnsi="宋体"/>
                <w:color w:val="000000"/>
                <w:kern w:val="0"/>
                <w:szCs w:val="21"/>
              </w:rPr>
              <w:t>大渡口</w:t>
            </w:r>
          </w:p>
        </w:tc>
        <w:tc>
          <w:tcPr>
            <w:tcW w:w="1080" w:type="dxa"/>
            <w:tcBorders>
              <w:top w:val="nil"/>
              <w:left w:val="nil"/>
              <w:bottom w:val="nil"/>
              <w:right w:val="nil"/>
            </w:tcBorders>
            <w:shd w:val="clear" w:color="auto" w:fill="auto"/>
            <w:noWrap/>
            <w:vAlign w:val="bottom"/>
          </w:tcPr>
          <w:p w14:paraId="344BC861">
            <w:pPr>
              <w:widowControl/>
              <w:jc w:val="center"/>
              <w:rPr>
                <w:color w:val="000000"/>
                <w:kern w:val="0"/>
                <w:szCs w:val="21"/>
              </w:rPr>
            </w:pPr>
            <w:r>
              <w:rPr>
                <w:color w:val="000000"/>
                <w:kern w:val="0"/>
                <w:szCs w:val="21"/>
              </w:rPr>
              <w:t>43</w:t>
            </w:r>
          </w:p>
        </w:tc>
        <w:tc>
          <w:tcPr>
            <w:tcW w:w="1080" w:type="dxa"/>
            <w:tcBorders>
              <w:top w:val="nil"/>
              <w:left w:val="nil"/>
              <w:bottom w:val="nil"/>
              <w:right w:val="nil"/>
            </w:tcBorders>
            <w:shd w:val="clear" w:color="auto" w:fill="auto"/>
            <w:noWrap/>
            <w:vAlign w:val="bottom"/>
          </w:tcPr>
          <w:p w14:paraId="40F744EE">
            <w:pPr>
              <w:widowControl/>
              <w:jc w:val="center"/>
              <w:rPr>
                <w:color w:val="000000"/>
                <w:kern w:val="0"/>
                <w:szCs w:val="21"/>
              </w:rPr>
            </w:pPr>
            <w:r>
              <w:rPr>
                <w:color w:val="000000"/>
                <w:kern w:val="0"/>
                <w:szCs w:val="21"/>
              </w:rPr>
              <w:t>3</w:t>
            </w:r>
          </w:p>
        </w:tc>
        <w:tc>
          <w:tcPr>
            <w:tcW w:w="1080" w:type="dxa"/>
            <w:tcBorders>
              <w:top w:val="nil"/>
              <w:left w:val="nil"/>
              <w:bottom w:val="nil"/>
              <w:right w:val="nil"/>
            </w:tcBorders>
            <w:shd w:val="clear" w:color="auto" w:fill="auto"/>
            <w:noWrap/>
            <w:vAlign w:val="bottom"/>
          </w:tcPr>
          <w:p w14:paraId="11BF4ABC">
            <w:pPr>
              <w:widowControl/>
              <w:jc w:val="center"/>
              <w:rPr>
                <w:color w:val="000000"/>
                <w:kern w:val="0"/>
                <w:szCs w:val="21"/>
              </w:rPr>
            </w:pPr>
            <w:r>
              <w:rPr>
                <w:color w:val="000000"/>
                <w:kern w:val="0"/>
                <w:szCs w:val="21"/>
              </w:rPr>
              <w:t xml:space="preserve">6.98 </w:t>
            </w:r>
          </w:p>
        </w:tc>
      </w:tr>
      <w:tr w14:paraId="72D1CFA0">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18344FEA">
            <w:pPr>
              <w:widowControl/>
              <w:jc w:val="left"/>
              <w:rPr>
                <w:color w:val="000000"/>
                <w:kern w:val="0"/>
                <w:szCs w:val="21"/>
              </w:rPr>
            </w:pPr>
          </w:p>
        </w:tc>
        <w:tc>
          <w:tcPr>
            <w:tcW w:w="1080" w:type="dxa"/>
            <w:vMerge w:val="continue"/>
            <w:tcBorders>
              <w:top w:val="nil"/>
              <w:left w:val="nil"/>
              <w:bottom w:val="nil"/>
              <w:right w:val="nil"/>
            </w:tcBorders>
            <w:vAlign w:val="center"/>
          </w:tcPr>
          <w:p w14:paraId="602C279D">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23E94C06">
            <w:pPr>
              <w:widowControl/>
              <w:jc w:val="center"/>
              <w:rPr>
                <w:color w:val="000000"/>
                <w:kern w:val="0"/>
                <w:szCs w:val="21"/>
              </w:rPr>
            </w:pPr>
            <w:r>
              <w:rPr>
                <w:rFonts w:hAnsi="宋体"/>
                <w:color w:val="000000"/>
                <w:kern w:val="0"/>
                <w:szCs w:val="21"/>
              </w:rPr>
              <w:t>九龙坡</w:t>
            </w:r>
          </w:p>
        </w:tc>
        <w:tc>
          <w:tcPr>
            <w:tcW w:w="1080" w:type="dxa"/>
            <w:tcBorders>
              <w:top w:val="nil"/>
              <w:left w:val="nil"/>
              <w:bottom w:val="nil"/>
              <w:right w:val="nil"/>
            </w:tcBorders>
            <w:shd w:val="clear" w:color="auto" w:fill="auto"/>
            <w:noWrap/>
            <w:vAlign w:val="bottom"/>
          </w:tcPr>
          <w:p w14:paraId="7EE5644B">
            <w:pPr>
              <w:widowControl/>
              <w:jc w:val="center"/>
              <w:rPr>
                <w:color w:val="000000"/>
                <w:kern w:val="0"/>
                <w:szCs w:val="21"/>
              </w:rPr>
            </w:pPr>
            <w:r>
              <w:rPr>
                <w:color w:val="000000"/>
                <w:kern w:val="0"/>
                <w:szCs w:val="21"/>
              </w:rPr>
              <w:t>44</w:t>
            </w:r>
          </w:p>
        </w:tc>
        <w:tc>
          <w:tcPr>
            <w:tcW w:w="1080" w:type="dxa"/>
            <w:tcBorders>
              <w:top w:val="nil"/>
              <w:left w:val="nil"/>
              <w:bottom w:val="nil"/>
              <w:right w:val="nil"/>
            </w:tcBorders>
            <w:shd w:val="clear" w:color="auto" w:fill="auto"/>
            <w:noWrap/>
            <w:vAlign w:val="bottom"/>
          </w:tcPr>
          <w:p w14:paraId="677A5341">
            <w:pPr>
              <w:widowControl/>
              <w:jc w:val="center"/>
              <w:rPr>
                <w:color w:val="000000"/>
                <w:kern w:val="0"/>
                <w:szCs w:val="21"/>
              </w:rPr>
            </w:pPr>
            <w:r>
              <w:rPr>
                <w:color w:val="000000"/>
                <w:kern w:val="0"/>
                <w:szCs w:val="21"/>
              </w:rPr>
              <w:t>1</w:t>
            </w:r>
          </w:p>
        </w:tc>
        <w:tc>
          <w:tcPr>
            <w:tcW w:w="1080" w:type="dxa"/>
            <w:tcBorders>
              <w:top w:val="nil"/>
              <w:left w:val="nil"/>
              <w:bottom w:val="nil"/>
              <w:right w:val="nil"/>
            </w:tcBorders>
            <w:shd w:val="clear" w:color="auto" w:fill="auto"/>
            <w:noWrap/>
            <w:vAlign w:val="bottom"/>
          </w:tcPr>
          <w:p w14:paraId="7CB9B2C8">
            <w:pPr>
              <w:widowControl/>
              <w:jc w:val="center"/>
              <w:rPr>
                <w:color w:val="000000"/>
                <w:kern w:val="0"/>
                <w:szCs w:val="21"/>
              </w:rPr>
            </w:pPr>
            <w:r>
              <w:rPr>
                <w:color w:val="000000"/>
                <w:kern w:val="0"/>
                <w:szCs w:val="21"/>
              </w:rPr>
              <w:t xml:space="preserve">2.27 </w:t>
            </w:r>
          </w:p>
        </w:tc>
      </w:tr>
      <w:tr w14:paraId="7DF76A36">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26F315BB">
            <w:pPr>
              <w:widowControl/>
              <w:jc w:val="left"/>
              <w:rPr>
                <w:color w:val="000000"/>
                <w:kern w:val="0"/>
                <w:szCs w:val="21"/>
              </w:rPr>
            </w:pPr>
          </w:p>
        </w:tc>
        <w:tc>
          <w:tcPr>
            <w:tcW w:w="1080" w:type="dxa"/>
            <w:vMerge w:val="continue"/>
            <w:tcBorders>
              <w:top w:val="nil"/>
              <w:left w:val="nil"/>
              <w:bottom w:val="nil"/>
              <w:right w:val="nil"/>
            </w:tcBorders>
            <w:vAlign w:val="center"/>
          </w:tcPr>
          <w:p w14:paraId="54969C1D">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7F5DCD7A">
            <w:pPr>
              <w:widowControl/>
              <w:jc w:val="center"/>
              <w:rPr>
                <w:color w:val="000000"/>
                <w:kern w:val="0"/>
                <w:szCs w:val="21"/>
              </w:rPr>
            </w:pPr>
            <w:r>
              <w:rPr>
                <w:rFonts w:hAnsi="宋体"/>
                <w:color w:val="000000"/>
                <w:kern w:val="0"/>
                <w:szCs w:val="21"/>
              </w:rPr>
              <w:t>渝北</w:t>
            </w:r>
          </w:p>
        </w:tc>
        <w:tc>
          <w:tcPr>
            <w:tcW w:w="1080" w:type="dxa"/>
            <w:tcBorders>
              <w:top w:val="nil"/>
              <w:left w:val="nil"/>
              <w:bottom w:val="nil"/>
              <w:right w:val="nil"/>
            </w:tcBorders>
            <w:shd w:val="clear" w:color="auto" w:fill="auto"/>
            <w:noWrap/>
            <w:vAlign w:val="bottom"/>
          </w:tcPr>
          <w:p w14:paraId="7F389042">
            <w:pPr>
              <w:widowControl/>
              <w:jc w:val="center"/>
              <w:rPr>
                <w:color w:val="000000"/>
                <w:kern w:val="0"/>
                <w:szCs w:val="21"/>
              </w:rPr>
            </w:pPr>
            <w:r>
              <w:rPr>
                <w:color w:val="000000"/>
                <w:kern w:val="0"/>
                <w:szCs w:val="21"/>
              </w:rPr>
              <w:t>86</w:t>
            </w:r>
          </w:p>
        </w:tc>
        <w:tc>
          <w:tcPr>
            <w:tcW w:w="1080" w:type="dxa"/>
            <w:tcBorders>
              <w:top w:val="nil"/>
              <w:left w:val="nil"/>
              <w:bottom w:val="nil"/>
              <w:right w:val="nil"/>
            </w:tcBorders>
            <w:shd w:val="clear" w:color="auto" w:fill="auto"/>
            <w:noWrap/>
            <w:vAlign w:val="bottom"/>
          </w:tcPr>
          <w:p w14:paraId="30E25169">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54F9E17B">
            <w:pPr>
              <w:widowControl/>
              <w:jc w:val="center"/>
              <w:rPr>
                <w:color w:val="000000"/>
                <w:kern w:val="0"/>
                <w:szCs w:val="21"/>
              </w:rPr>
            </w:pPr>
            <w:r>
              <w:rPr>
                <w:color w:val="000000"/>
                <w:kern w:val="0"/>
                <w:szCs w:val="21"/>
              </w:rPr>
              <w:t xml:space="preserve">0.00 </w:t>
            </w:r>
          </w:p>
        </w:tc>
      </w:tr>
      <w:tr w14:paraId="08AB8287">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50A15C09">
            <w:pPr>
              <w:widowControl/>
              <w:jc w:val="left"/>
              <w:rPr>
                <w:color w:val="000000"/>
                <w:kern w:val="0"/>
                <w:szCs w:val="21"/>
              </w:rPr>
            </w:pPr>
          </w:p>
        </w:tc>
        <w:tc>
          <w:tcPr>
            <w:tcW w:w="1080" w:type="dxa"/>
            <w:vMerge w:val="continue"/>
            <w:tcBorders>
              <w:top w:val="nil"/>
              <w:left w:val="nil"/>
              <w:bottom w:val="nil"/>
              <w:right w:val="nil"/>
            </w:tcBorders>
            <w:vAlign w:val="center"/>
          </w:tcPr>
          <w:p w14:paraId="5F6186EB">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71E5BCBC">
            <w:pPr>
              <w:widowControl/>
              <w:jc w:val="center"/>
              <w:rPr>
                <w:color w:val="000000"/>
                <w:kern w:val="0"/>
                <w:szCs w:val="21"/>
              </w:rPr>
            </w:pPr>
            <w:r>
              <w:rPr>
                <w:rFonts w:hAnsi="宋体"/>
                <w:color w:val="000000"/>
                <w:kern w:val="0"/>
                <w:szCs w:val="21"/>
              </w:rPr>
              <w:t>小计</w:t>
            </w:r>
          </w:p>
        </w:tc>
        <w:tc>
          <w:tcPr>
            <w:tcW w:w="1080" w:type="dxa"/>
            <w:tcBorders>
              <w:top w:val="nil"/>
              <w:left w:val="nil"/>
              <w:bottom w:val="nil"/>
              <w:right w:val="nil"/>
            </w:tcBorders>
            <w:shd w:val="clear" w:color="auto" w:fill="auto"/>
            <w:noWrap/>
            <w:vAlign w:val="bottom"/>
          </w:tcPr>
          <w:p w14:paraId="074D95D1">
            <w:pPr>
              <w:widowControl/>
              <w:jc w:val="center"/>
              <w:rPr>
                <w:color w:val="000000"/>
                <w:kern w:val="0"/>
                <w:szCs w:val="21"/>
              </w:rPr>
            </w:pPr>
            <w:r>
              <w:rPr>
                <w:color w:val="000000"/>
                <w:kern w:val="0"/>
                <w:szCs w:val="21"/>
              </w:rPr>
              <w:t>173</w:t>
            </w:r>
          </w:p>
        </w:tc>
        <w:tc>
          <w:tcPr>
            <w:tcW w:w="1080" w:type="dxa"/>
            <w:tcBorders>
              <w:top w:val="nil"/>
              <w:left w:val="nil"/>
              <w:bottom w:val="nil"/>
              <w:right w:val="nil"/>
            </w:tcBorders>
            <w:shd w:val="clear" w:color="auto" w:fill="auto"/>
            <w:noWrap/>
            <w:vAlign w:val="bottom"/>
          </w:tcPr>
          <w:p w14:paraId="4B9FEF96">
            <w:pPr>
              <w:widowControl/>
              <w:jc w:val="center"/>
              <w:rPr>
                <w:color w:val="000000"/>
                <w:kern w:val="0"/>
                <w:szCs w:val="21"/>
              </w:rPr>
            </w:pPr>
            <w:r>
              <w:rPr>
                <w:color w:val="000000"/>
                <w:kern w:val="0"/>
                <w:szCs w:val="21"/>
              </w:rPr>
              <w:t>4</w:t>
            </w:r>
          </w:p>
        </w:tc>
        <w:tc>
          <w:tcPr>
            <w:tcW w:w="1080" w:type="dxa"/>
            <w:tcBorders>
              <w:top w:val="nil"/>
              <w:left w:val="nil"/>
              <w:bottom w:val="nil"/>
              <w:right w:val="nil"/>
            </w:tcBorders>
            <w:shd w:val="clear" w:color="auto" w:fill="auto"/>
            <w:noWrap/>
            <w:vAlign w:val="bottom"/>
          </w:tcPr>
          <w:p w14:paraId="651B6D59">
            <w:pPr>
              <w:widowControl/>
              <w:jc w:val="center"/>
              <w:rPr>
                <w:color w:val="000000"/>
                <w:kern w:val="0"/>
                <w:szCs w:val="21"/>
              </w:rPr>
            </w:pPr>
            <w:r>
              <w:rPr>
                <w:color w:val="000000"/>
                <w:kern w:val="0"/>
                <w:szCs w:val="21"/>
              </w:rPr>
              <w:t xml:space="preserve">2.31 </w:t>
            </w:r>
          </w:p>
        </w:tc>
      </w:tr>
      <w:tr w14:paraId="33D9D336">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1F03733C">
            <w:pPr>
              <w:widowControl/>
              <w:jc w:val="left"/>
              <w:rPr>
                <w:color w:val="000000"/>
                <w:kern w:val="0"/>
                <w:szCs w:val="21"/>
              </w:rPr>
            </w:pPr>
          </w:p>
        </w:tc>
        <w:tc>
          <w:tcPr>
            <w:tcW w:w="1080" w:type="dxa"/>
            <w:vMerge w:val="restart"/>
            <w:tcBorders>
              <w:top w:val="single" w:color="auto" w:sz="4" w:space="0"/>
              <w:left w:val="nil"/>
              <w:bottom w:val="single" w:color="000000" w:sz="4" w:space="0"/>
              <w:right w:val="nil"/>
            </w:tcBorders>
            <w:shd w:val="clear" w:color="auto" w:fill="auto"/>
            <w:vAlign w:val="center"/>
          </w:tcPr>
          <w:p w14:paraId="14ACABC4">
            <w:pPr>
              <w:widowControl/>
              <w:jc w:val="center"/>
              <w:rPr>
                <w:color w:val="000000"/>
                <w:kern w:val="0"/>
                <w:szCs w:val="21"/>
              </w:rPr>
            </w:pPr>
            <w:r>
              <w:rPr>
                <w:color w:val="000000"/>
                <w:kern w:val="0"/>
                <w:szCs w:val="21"/>
              </w:rPr>
              <w:t>2016年7月</w:t>
            </w:r>
          </w:p>
        </w:tc>
        <w:tc>
          <w:tcPr>
            <w:tcW w:w="1080" w:type="dxa"/>
            <w:tcBorders>
              <w:top w:val="single" w:color="auto" w:sz="4" w:space="0"/>
              <w:left w:val="nil"/>
              <w:bottom w:val="nil"/>
              <w:right w:val="nil"/>
            </w:tcBorders>
            <w:shd w:val="clear" w:color="auto" w:fill="auto"/>
            <w:vAlign w:val="center"/>
          </w:tcPr>
          <w:p w14:paraId="2764ACC1">
            <w:pPr>
              <w:widowControl/>
              <w:jc w:val="center"/>
              <w:rPr>
                <w:color w:val="000000"/>
                <w:kern w:val="0"/>
                <w:szCs w:val="21"/>
              </w:rPr>
            </w:pPr>
            <w:r>
              <w:rPr>
                <w:rFonts w:hAnsi="宋体"/>
                <w:color w:val="000000"/>
                <w:kern w:val="0"/>
                <w:szCs w:val="21"/>
              </w:rPr>
              <w:t>渝北华牧</w:t>
            </w:r>
          </w:p>
        </w:tc>
        <w:tc>
          <w:tcPr>
            <w:tcW w:w="1080" w:type="dxa"/>
            <w:tcBorders>
              <w:top w:val="single" w:color="auto" w:sz="4" w:space="0"/>
              <w:left w:val="nil"/>
              <w:bottom w:val="nil"/>
              <w:right w:val="nil"/>
            </w:tcBorders>
            <w:shd w:val="clear" w:color="auto" w:fill="auto"/>
            <w:noWrap/>
            <w:vAlign w:val="bottom"/>
          </w:tcPr>
          <w:p w14:paraId="6EBFD1BF">
            <w:pPr>
              <w:widowControl/>
              <w:jc w:val="center"/>
              <w:rPr>
                <w:color w:val="000000"/>
                <w:kern w:val="0"/>
                <w:szCs w:val="21"/>
              </w:rPr>
            </w:pPr>
            <w:r>
              <w:rPr>
                <w:color w:val="000000"/>
                <w:kern w:val="0"/>
                <w:szCs w:val="21"/>
              </w:rPr>
              <w:t>30</w:t>
            </w:r>
          </w:p>
        </w:tc>
        <w:tc>
          <w:tcPr>
            <w:tcW w:w="1080" w:type="dxa"/>
            <w:tcBorders>
              <w:top w:val="single" w:color="auto" w:sz="4" w:space="0"/>
              <w:left w:val="nil"/>
              <w:bottom w:val="nil"/>
              <w:right w:val="nil"/>
            </w:tcBorders>
            <w:shd w:val="clear" w:color="auto" w:fill="auto"/>
            <w:noWrap/>
            <w:vAlign w:val="bottom"/>
          </w:tcPr>
          <w:p w14:paraId="3E329FA6">
            <w:pPr>
              <w:widowControl/>
              <w:jc w:val="center"/>
              <w:rPr>
                <w:color w:val="000000"/>
                <w:kern w:val="0"/>
                <w:szCs w:val="21"/>
              </w:rPr>
            </w:pPr>
            <w:r>
              <w:rPr>
                <w:color w:val="000000"/>
                <w:kern w:val="0"/>
                <w:szCs w:val="21"/>
              </w:rPr>
              <w:t>0</w:t>
            </w:r>
          </w:p>
        </w:tc>
        <w:tc>
          <w:tcPr>
            <w:tcW w:w="1080" w:type="dxa"/>
            <w:tcBorders>
              <w:top w:val="single" w:color="auto" w:sz="4" w:space="0"/>
              <w:left w:val="nil"/>
              <w:bottom w:val="nil"/>
              <w:right w:val="nil"/>
            </w:tcBorders>
            <w:shd w:val="clear" w:color="auto" w:fill="auto"/>
            <w:noWrap/>
            <w:vAlign w:val="bottom"/>
          </w:tcPr>
          <w:p w14:paraId="325A86D4">
            <w:pPr>
              <w:widowControl/>
              <w:jc w:val="center"/>
              <w:rPr>
                <w:color w:val="000000"/>
                <w:kern w:val="0"/>
                <w:szCs w:val="21"/>
              </w:rPr>
            </w:pPr>
            <w:r>
              <w:rPr>
                <w:color w:val="000000"/>
                <w:kern w:val="0"/>
                <w:szCs w:val="21"/>
              </w:rPr>
              <w:t xml:space="preserve">0.00 </w:t>
            </w:r>
          </w:p>
        </w:tc>
      </w:tr>
      <w:tr w14:paraId="6CB47E2A">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152364DE">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573ACCB0">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0B0F8C3C">
            <w:pPr>
              <w:widowControl/>
              <w:jc w:val="center"/>
              <w:rPr>
                <w:color w:val="000000"/>
                <w:kern w:val="0"/>
                <w:szCs w:val="21"/>
              </w:rPr>
            </w:pPr>
            <w:r>
              <w:rPr>
                <w:rFonts w:hAnsi="宋体"/>
                <w:color w:val="000000"/>
                <w:kern w:val="0"/>
                <w:szCs w:val="21"/>
              </w:rPr>
              <w:t>渝北旺峰</w:t>
            </w:r>
          </w:p>
        </w:tc>
        <w:tc>
          <w:tcPr>
            <w:tcW w:w="1080" w:type="dxa"/>
            <w:tcBorders>
              <w:top w:val="nil"/>
              <w:left w:val="nil"/>
              <w:bottom w:val="nil"/>
              <w:right w:val="nil"/>
            </w:tcBorders>
            <w:shd w:val="clear" w:color="auto" w:fill="auto"/>
            <w:noWrap/>
            <w:vAlign w:val="bottom"/>
          </w:tcPr>
          <w:p w14:paraId="5B53191F">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667FE75B">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69297023">
            <w:pPr>
              <w:widowControl/>
              <w:jc w:val="center"/>
              <w:rPr>
                <w:color w:val="000000"/>
                <w:kern w:val="0"/>
                <w:szCs w:val="21"/>
              </w:rPr>
            </w:pPr>
            <w:r>
              <w:rPr>
                <w:color w:val="000000"/>
                <w:kern w:val="0"/>
                <w:szCs w:val="21"/>
              </w:rPr>
              <w:t xml:space="preserve">0.00 </w:t>
            </w:r>
          </w:p>
        </w:tc>
      </w:tr>
      <w:tr w14:paraId="66409018">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29153FB1">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59221838">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22DD9D9F">
            <w:pPr>
              <w:widowControl/>
              <w:jc w:val="center"/>
              <w:rPr>
                <w:color w:val="000000"/>
                <w:kern w:val="0"/>
                <w:szCs w:val="21"/>
              </w:rPr>
            </w:pPr>
            <w:r>
              <w:rPr>
                <w:rFonts w:hAnsi="宋体"/>
                <w:color w:val="000000"/>
                <w:kern w:val="0"/>
                <w:szCs w:val="21"/>
              </w:rPr>
              <w:t>南岸长生</w:t>
            </w:r>
          </w:p>
        </w:tc>
        <w:tc>
          <w:tcPr>
            <w:tcW w:w="1080" w:type="dxa"/>
            <w:tcBorders>
              <w:top w:val="nil"/>
              <w:left w:val="nil"/>
              <w:bottom w:val="nil"/>
              <w:right w:val="nil"/>
            </w:tcBorders>
            <w:shd w:val="clear" w:color="auto" w:fill="auto"/>
            <w:noWrap/>
            <w:vAlign w:val="bottom"/>
          </w:tcPr>
          <w:p w14:paraId="62EBC18F">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20710D4E">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4F7E0291">
            <w:pPr>
              <w:widowControl/>
              <w:jc w:val="center"/>
              <w:rPr>
                <w:color w:val="000000"/>
                <w:kern w:val="0"/>
                <w:szCs w:val="21"/>
              </w:rPr>
            </w:pPr>
            <w:r>
              <w:rPr>
                <w:color w:val="000000"/>
                <w:kern w:val="0"/>
                <w:szCs w:val="21"/>
              </w:rPr>
              <w:t xml:space="preserve">0.00 </w:t>
            </w:r>
          </w:p>
        </w:tc>
      </w:tr>
      <w:tr w14:paraId="31A01E91">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795A1E05">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308356BD">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360B8778">
            <w:pPr>
              <w:widowControl/>
              <w:jc w:val="center"/>
              <w:rPr>
                <w:color w:val="000000"/>
                <w:kern w:val="0"/>
                <w:szCs w:val="21"/>
              </w:rPr>
            </w:pPr>
            <w:r>
              <w:rPr>
                <w:rFonts w:hAnsi="宋体"/>
                <w:color w:val="000000"/>
                <w:kern w:val="0"/>
                <w:szCs w:val="21"/>
              </w:rPr>
              <w:t>农贸市场</w:t>
            </w:r>
          </w:p>
        </w:tc>
        <w:tc>
          <w:tcPr>
            <w:tcW w:w="1080" w:type="dxa"/>
            <w:tcBorders>
              <w:top w:val="nil"/>
              <w:left w:val="nil"/>
              <w:bottom w:val="nil"/>
              <w:right w:val="nil"/>
            </w:tcBorders>
            <w:shd w:val="clear" w:color="auto" w:fill="auto"/>
            <w:noWrap/>
            <w:vAlign w:val="bottom"/>
          </w:tcPr>
          <w:p w14:paraId="16BEF5E2">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55B6F1E0">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0AA34670">
            <w:pPr>
              <w:widowControl/>
              <w:jc w:val="center"/>
              <w:rPr>
                <w:color w:val="000000"/>
                <w:kern w:val="0"/>
                <w:szCs w:val="21"/>
              </w:rPr>
            </w:pPr>
            <w:r>
              <w:rPr>
                <w:color w:val="000000"/>
                <w:kern w:val="0"/>
                <w:szCs w:val="21"/>
              </w:rPr>
              <w:t xml:space="preserve">0.00 </w:t>
            </w:r>
          </w:p>
        </w:tc>
      </w:tr>
      <w:tr w14:paraId="20A2BBC9">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0348951D">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7F01B324">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528ED8A8">
            <w:pPr>
              <w:widowControl/>
              <w:jc w:val="center"/>
              <w:rPr>
                <w:color w:val="000000"/>
                <w:kern w:val="0"/>
                <w:szCs w:val="21"/>
              </w:rPr>
            </w:pPr>
            <w:r>
              <w:rPr>
                <w:rFonts w:hAnsi="宋体"/>
                <w:color w:val="000000"/>
                <w:kern w:val="0"/>
                <w:szCs w:val="21"/>
              </w:rPr>
              <w:t>超市</w:t>
            </w:r>
          </w:p>
        </w:tc>
        <w:tc>
          <w:tcPr>
            <w:tcW w:w="1080" w:type="dxa"/>
            <w:tcBorders>
              <w:top w:val="nil"/>
              <w:left w:val="nil"/>
              <w:bottom w:val="nil"/>
              <w:right w:val="nil"/>
            </w:tcBorders>
            <w:shd w:val="clear" w:color="auto" w:fill="auto"/>
            <w:noWrap/>
            <w:vAlign w:val="bottom"/>
          </w:tcPr>
          <w:p w14:paraId="1F516611">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4201B4E0">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1B57EC5B">
            <w:pPr>
              <w:widowControl/>
              <w:jc w:val="center"/>
              <w:rPr>
                <w:color w:val="000000"/>
                <w:kern w:val="0"/>
                <w:szCs w:val="21"/>
              </w:rPr>
            </w:pPr>
            <w:r>
              <w:rPr>
                <w:color w:val="000000"/>
                <w:kern w:val="0"/>
                <w:szCs w:val="21"/>
              </w:rPr>
              <w:t xml:space="preserve">0.00 </w:t>
            </w:r>
          </w:p>
        </w:tc>
      </w:tr>
      <w:tr w14:paraId="42F82B69">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4C818349">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5E8847BC">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6CC4224D">
            <w:pPr>
              <w:widowControl/>
              <w:jc w:val="center"/>
              <w:rPr>
                <w:b/>
                <w:bCs/>
                <w:color w:val="000000"/>
                <w:kern w:val="0"/>
                <w:szCs w:val="21"/>
              </w:rPr>
            </w:pPr>
            <w:r>
              <w:rPr>
                <w:rFonts w:hAnsi="宋体"/>
                <w:b/>
                <w:bCs/>
                <w:color w:val="000000"/>
                <w:kern w:val="0"/>
                <w:szCs w:val="21"/>
              </w:rPr>
              <w:t>小计</w:t>
            </w:r>
          </w:p>
        </w:tc>
        <w:tc>
          <w:tcPr>
            <w:tcW w:w="1080" w:type="dxa"/>
            <w:tcBorders>
              <w:top w:val="nil"/>
              <w:left w:val="nil"/>
              <w:bottom w:val="nil"/>
              <w:right w:val="nil"/>
            </w:tcBorders>
            <w:shd w:val="clear" w:color="auto" w:fill="auto"/>
            <w:noWrap/>
            <w:vAlign w:val="bottom"/>
          </w:tcPr>
          <w:p w14:paraId="4F2ED944">
            <w:pPr>
              <w:widowControl/>
              <w:jc w:val="center"/>
              <w:rPr>
                <w:color w:val="000000"/>
                <w:kern w:val="0"/>
                <w:szCs w:val="21"/>
              </w:rPr>
            </w:pPr>
            <w:r>
              <w:rPr>
                <w:color w:val="000000"/>
                <w:kern w:val="0"/>
                <w:szCs w:val="21"/>
              </w:rPr>
              <w:t>150</w:t>
            </w:r>
          </w:p>
        </w:tc>
        <w:tc>
          <w:tcPr>
            <w:tcW w:w="1080" w:type="dxa"/>
            <w:tcBorders>
              <w:top w:val="nil"/>
              <w:left w:val="nil"/>
              <w:bottom w:val="nil"/>
              <w:right w:val="nil"/>
            </w:tcBorders>
            <w:shd w:val="clear" w:color="auto" w:fill="auto"/>
            <w:noWrap/>
            <w:vAlign w:val="bottom"/>
          </w:tcPr>
          <w:p w14:paraId="71FEEA2B">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69839A1C">
            <w:pPr>
              <w:widowControl/>
              <w:jc w:val="center"/>
              <w:rPr>
                <w:color w:val="000000"/>
                <w:kern w:val="0"/>
                <w:szCs w:val="21"/>
              </w:rPr>
            </w:pPr>
            <w:r>
              <w:rPr>
                <w:color w:val="000000"/>
                <w:kern w:val="0"/>
                <w:szCs w:val="21"/>
              </w:rPr>
              <w:t xml:space="preserve">0.00 </w:t>
            </w:r>
          </w:p>
        </w:tc>
      </w:tr>
      <w:tr w14:paraId="45678FF3">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5201154B">
            <w:pPr>
              <w:widowControl/>
              <w:jc w:val="left"/>
              <w:rPr>
                <w:color w:val="000000"/>
                <w:kern w:val="0"/>
                <w:szCs w:val="21"/>
              </w:rPr>
            </w:pPr>
          </w:p>
        </w:tc>
        <w:tc>
          <w:tcPr>
            <w:tcW w:w="1080" w:type="dxa"/>
            <w:vMerge w:val="restart"/>
            <w:tcBorders>
              <w:top w:val="nil"/>
              <w:left w:val="nil"/>
              <w:bottom w:val="single" w:color="000000" w:sz="4" w:space="0"/>
              <w:right w:val="nil"/>
            </w:tcBorders>
            <w:shd w:val="clear" w:color="auto" w:fill="auto"/>
            <w:vAlign w:val="center"/>
          </w:tcPr>
          <w:p w14:paraId="06A3CBBC">
            <w:pPr>
              <w:widowControl/>
              <w:jc w:val="center"/>
              <w:rPr>
                <w:color w:val="000000"/>
                <w:kern w:val="0"/>
                <w:szCs w:val="21"/>
              </w:rPr>
            </w:pPr>
            <w:r>
              <w:rPr>
                <w:color w:val="000000"/>
                <w:kern w:val="0"/>
                <w:szCs w:val="21"/>
              </w:rPr>
              <w:t>2016年10月</w:t>
            </w:r>
          </w:p>
        </w:tc>
        <w:tc>
          <w:tcPr>
            <w:tcW w:w="1080" w:type="dxa"/>
            <w:tcBorders>
              <w:top w:val="single" w:color="auto" w:sz="4" w:space="0"/>
              <w:left w:val="nil"/>
              <w:bottom w:val="nil"/>
              <w:right w:val="nil"/>
            </w:tcBorders>
            <w:shd w:val="clear" w:color="auto" w:fill="auto"/>
            <w:vAlign w:val="center"/>
          </w:tcPr>
          <w:p w14:paraId="37668A76">
            <w:pPr>
              <w:widowControl/>
              <w:jc w:val="center"/>
              <w:rPr>
                <w:color w:val="000000"/>
                <w:kern w:val="0"/>
                <w:szCs w:val="21"/>
              </w:rPr>
            </w:pPr>
            <w:r>
              <w:rPr>
                <w:rFonts w:hAnsi="宋体"/>
                <w:color w:val="000000"/>
                <w:kern w:val="0"/>
                <w:szCs w:val="21"/>
              </w:rPr>
              <w:t>渝北华牧</w:t>
            </w:r>
          </w:p>
        </w:tc>
        <w:tc>
          <w:tcPr>
            <w:tcW w:w="1080" w:type="dxa"/>
            <w:tcBorders>
              <w:top w:val="single" w:color="auto" w:sz="4" w:space="0"/>
              <w:left w:val="nil"/>
              <w:bottom w:val="nil"/>
              <w:right w:val="nil"/>
            </w:tcBorders>
            <w:shd w:val="clear" w:color="auto" w:fill="auto"/>
            <w:noWrap/>
            <w:vAlign w:val="bottom"/>
          </w:tcPr>
          <w:p w14:paraId="2A6F35C0">
            <w:pPr>
              <w:widowControl/>
              <w:jc w:val="center"/>
              <w:rPr>
                <w:color w:val="000000"/>
                <w:kern w:val="0"/>
                <w:szCs w:val="21"/>
              </w:rPr>
            </w:pPr>
            <w:r>
              <w:rPr>
                <w:color w:val="000000"/>
                <w:kern w:val="0"/>
                <w:szCs w:val="21"/>
              </w:rPr>
              <w:t>30</w:t>
            </w:r>
          </w:p>
        </w:tc>
        <w:tc>
          <w:tcPr>
            <w:tcW w:w="1080" w:type="dxa"/>
            <w:tcBorders>
              <w:top w:val="single" w:color="auto" w:sz="4" w:space="0"/>
              <w:left w:val="nil"/>
              <w:bottom w:val="nil"/>
              <w:right w:val="nil"/>
            </w:tcBorders>
            <w:shd w:val="clear" w:color="auto" w:fill="auto"/>
            <w:noWrap/>
            <w:vAlign w:val="bottom"/>
          </w:tcPr>
          <w:p w14:paraId="5F6D09BC">
            <w:pPr>
              <w:widowControl/>
              <w:jc w:val="center"/>
              <w:rPr>
                <w:color w:val="000000"/>
                <w:kern w:val="0"/>
                <w:szCs w:val="21"/>
              </w:rPr>
            </w:pPr>
            <w:r>
              <w:rPr>
                <w:color w:val="000000"/>
                <w:kern w:val="0"/>
                <w:szCs w:val="21"/>
              </w:rPr>
              <w:t>0</w:t>
            </w:r>
          </w:p>
        </w:tc>
        <w:tc>
          <w:tcPr>
            <w:tcW w:w="1080" w:type="dxa"/>
            <w:tcBorders>
              <w:top w:val="single" w:color="auto" w:sz="4" w:space="0"/>
              <w:left w:val="nil"/>
              <w:bottom w:val="nil"/>
              <w:right w:val="nil"/>
            </w:tcBorders>
            <w:shd w:val="clear" w:color="auto" w:fill="auto"/>
            <w:noWrap/>
            <w:vAlign w:val="bottom"/>
          </w:tcPr>
          <w:p w14:paraId="5486A078">
            <w:pPr>
              <w:widowControl/>
              <w:jc w:val="center"/>
              <w:rPr>
                <w:color w:val="000000"/>
                <w:kern w:val="0"/>
                <w:szCs w:val="21"/>
              </w:rPr>
            </w:pPr>
            <w:r>
              <w:rPr>
                <w:color w:val="000000"/>
                <w:kern w:val="0"/>
                <w:szCs w:val="21"/>
              </w:rPr>
              <w:t xml:space="preserve">0.00 </w:t>
            </w:r>
          </w:p>
        </w:tc>
      </w:tr>
      <w:tr w14:paraId="7556C923">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0FA54F2D">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3DDF5C78">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787D9B01">
            <w:pPr>
              <w:widowControl/>
              <w:jc w:val="center"/>
              <w:rPr>
                <w:color w:val="000000"/>
                <w:kern w:val="0"/>
                <w:szCs w:val="21"/>
              </w:rPr>
            </w:pPr>
            <w:r>
              <w:rPr>
                <w:rFonts w:hAnsi="宋体"/>
                <w:color w:val="000000"/>
                <w:kern w:val="0"/>
                <w:szCs w:val="21"/>
              </w:rPr>
              <w:t>祥旭</w:t>
            </w:r>
          </w:p>
        </w:tc>
        <w:tc>
          <w:tcPr>
            <w:tcW w:w="1080" w:type="dxa"/>
            <w:tcBorders>
              <w:top w:val="nil"/>
              <w:left w:val="nil"/>
              <w:bottom w:val="nil"/>
              <w:right w:val="nil"/>
            </w:tcBorders>
            <w:shd w:val="clear" w:color="auto" w:fill="auto"/>
            <w:noWrap/>
            <w:vAlign w:val="bottom"/>
          </w:tcPr>
          <w:p w14:paraId="6FB75858">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3474158E">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04742BFF">
            <w:pPr>
              <w:widowControl/>
              <w:jc w:val="center"/>
              <w:rPr>
                <w:color w:val="000000"/>
                <w:kern w:val="0"/>
                <w:szCs w:val="21"/>
              </w:rPr>
            </w:pPr>
            <w:r>
              <w:rPr>
                <w:color w:val="000000"/>
                <w:kern w:val="0"/>
                <w:szCs w:val="21"/>
              </w:rPr>
              <w:t xml:space="preserve">0.00 </w:t>
            </w:r>
          </w:p>
        </w:tc>
      </w:tr>
      <w:tr w14:paraId="4DB58D00">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05243A32">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572DD6C5">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59F8BFFB">
            <w:pPr>
              <w:widowControl/>
              <w:jc w:val="center"/>
              <w:rPr>
                <w:color w:val="000000"/>
                <w:kern w:val="0"/>
                <w:szCs w:val="21"/>
              </w:rPr>
            </w:pPr>
            <w:r>
              <w:rPr>
                <w:rFonts w:hAnsi="宋体"/>
                <w:color w:val="000000"/>
                <w:kern w:val="0"/>
                <w:szCs w:val="21"/>
              </w:rPr>
              <w:t>滕驰</w:t>
            </w:r>
          </w:p>
        </w:tc>
        <w:tc>
          <w:tcPr>
            <w:tcW w:w="1080" w:type="dxa"/>
            <w:tcBorders>
              <w:top w:val="nil"/>
              <w:left w:val="nil"/>
              <w:bottom w:val="nil"/>
              <w:right w:val="nil"/>
            </w:tcBorders>
            <w:shd w:val="clear" w:color="auto" w:fill="auto"/>
            <w:noWrap/>
            <w:vAlign w:val="bottom"/>
          </w:tcPr>
          <w:p w14:paraId="36FF0E76">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7702DB50">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2B13905C">
            <w:pPr>
              <w:widowControl/>
              <w:jc w:val="center"/>
              <w:rPr>
                <w:color w:val="000000"/>
                <w:kern w:val="0"/>
                <w:szCs w:val="21"/>
              </w:rPr>
            </w:pPr>
            <w:r>
              <w:rPr>
                <w:color w:val="000000"/>
                <w:kern w:val="0"/>
                <w:szCs w:val="21"/>
              </w:rPr>
              <w:t xml:space="preserve">0.00 </w:t>
            </w:r>
          </w:p>
        </w:tc>
      </w:tr>
      <w:tr w14:paraId="1EB5AE19">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3B05DA88">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2DF2AC3C">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1AF1FB5A">
            <w:pPr>
              <w:widowControl/>
              <w:jc w:val="center"/>
              <w:rPr>
                <w:color w:val="000000"/>
                <w:kern w:val="0"/>
                <w:szCs w:val="21"/>
              </w:rPr>
            </w:pPr>
            <w:r>
              <w:rPr>
                <w:rFonts w:hAnsi="宋体"/>
                <w:color w:val="000000"/>
                <w:kern w:val="0"/>
                <w:szCs w:val="21"/>
              </w:rPr>
              <w:t>农贸市场</w:t>
            </w:r>
          </w:p>
        </w:tc>
        <w:tc>
          <w:tcPr>
            <w:tcW w:w="1080" w:type="dxa"/>
            <w:tcBorders>
              <w:top w:val="nil"/>
              <w:left w:val="nil"/>
              <w:bottom w:val="nil"/>
              <w:right w:val="nil"/>
            </w:tcBorders>
            <w:shd w:val="clear" w:color="auto" w:fill="auto"/>
            <w:noWrap/>
            <w:vAlign w:val="bottom"/>
          </w:tcPr>
          <w:p w14:paraId="681ED516">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561378B3">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4D391B7F">
            <w:pPr>
              <w:widowControl/>
              <w:jc w:val="center"/>
              <w:rPr>
                <w:color w:val="000000"/>
                <w:kern w:val="0"/>
                <w:szCs w:val="21"/>
              </w:rPr>
            </w:pPr>
            <w:r>
              <w:rPr>
                <w:color w:val="000000"/>
                <w:kern w:val="0"/>
                <w:szCs w:val="21"/>
              </w:rPr>
              <w:t xml:space="preserve">0.00 </w:t>
            </w:r>
          </w:p>
        </w:tc>
      </w:tr>
      <w:tr w14:paraId="12F38806">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6F732763">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340CE45A">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5D0F3E27">
            <w:pPr>
              <w:widowControl/>
              <w:jc w:val="center"/>
              <w:rPr>
                <w:color w:val="000000"/>
                <w:kern w:val="0"/>
                <w:szCs w:val="21"/>
              </w:rPr>
            </w:pPr>
            <w:r>
              <w:rPr>
                <w:rFonts w:hAnsi="宋体"/>
                <w:color w:val="000000"/>
                <w:kern w:val="0"/>
                <w:szCs w:val="21"/>
              </w:rPr>
              <w:t>超市</w:t>
            </w:r>
          </w:p>
        </w:tc>
        <w:tc>
          <w:tcPr>
            <w:tcW w:w="1080" w:type="dxa"/>
            <w:tcBorders>
              <w:top w:val="nil"/>
              <w:left w:val="nil"/>
              <w:bottom w:val="nil"/>
              <w:right w:val="nil"/>
            </w:tcBorders>
            <w:shd w:val="clear" w:color="auto" w:fill="auto"/>
            <w:noWrap/>
            <w:vAlign w:val="bottom"/>
          </w:tcPr>
          <w:p w14:paraId="6D369995">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61A0245B">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29DCC7BD">
            <w:pPr>
              <w:widowControl/>
              <w:jc w:val="center"/>
              <w:rPr>
                <w:color w:val="000000"/>
                <w:kern w:val="0"/>
                <w:szCs w:val="21"/>
              </w:rPr>
            </w:pPr>
            <w:r>
              <w:rPr>
                <w:color w:val="000000"/>
                <w:kern w:val="0"/>
                <w:szCs w:val="21"/>
              </w:rPr>
              <w:t xml:space="preserve">0.00 </w:t>
            </w:r>
          </w:p>
        </w:tc>
      </w:tr>
      <w:tr w14:paraId="17CF4C5B">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55EFDC6C">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5B15D43E">
            <w:pPr>
              <w:widowControl/>
              <w:jc w:val="left"/>
              <w:rPr>
                <w:color w:val="000000"/>
                <w:kern w:val="0"/>
                <w:szCs w:val="21"/>
              </w:rPr>
            </w:pPr>
          </w:p>
        </w:tc>
        <w:tc>
          <w:tcPr>
            <w:tcW w:w="1080" w:type="dxa"/>
            <w:tcBorders>
              <w:top w:val="nil"/>
              <w:left w:val="nil"/>
              <w:bottom w:val="single" w:color="auto" w:sz="4" w:space="0"/>
              <w:right w:val="nil"/>
            </w:tcBorders>
            <w:shd w:val="clear" w:color="auto" w:fill="auto"/>
            <w:vAlign w:val="center"/>
          </w:tcPr>
          <w:p w14:paraId="4F4BCD82">
            <w:pPr>
              <w:widowControl/>
              <w:jc w:val="center"/>
              <w:rPr>
                <w:b/>
                <w:bCs/>
                <w:color w:val="000000"/>
                <w:kern w:val="0"/>
                <w:szCs w:val="21"/>
              </w:rPr>
            </w:pPr>
            <w:r>
              <w:rPr>
                <w:rFonts w:hAnsi="宋体"/>
                <w:b/>
                <w:bCs/>
                <w:color w:val="000000"/>
                <w:kern w:val="0"/>
                <w:szCs w:val="21"/>
              </w:rPr>
              <w:t>小计</w:t>
            </w:r>
          </w:p>
        </w:tc>
        <w:tc>
          <w:tcPr>
            <w:tcW w:w="1080" w:type="dxa"/>
            <w:tcBorders>
              <w:top w:val="nil"/>
              <w:left w:val="nil"/>
              <w:bottom w:val="single" w:color="auto" w:sz="4" w:space="0"/>
              <w:right w:val="nil"/>
            </w:tcBorders>
            <w:shd w:val="clear" w:color="auto" w:fill="auto"/>
            <w:noWrap/>
            <w:vAlign w:val="bottom"/>
          </w:tcPr>
          <w:p w14:paraId="7577D988">
            <w:pPr>
              <w:widowControl/>
              <w:jc w:val="center"/>
              <w:rPr>
                <w:color w:val="000000"/>
                <w:kern w:val="0"/>
                <w:szCs w:val="21"/>
              </w:rPr>
            </w:pPr>
            <w:r>
              <w:rPr>
                <w:color w:val="000000"/>
                <w:kern w:val="0"/>
                <w:szCs w:val="21"/>
              </w:rPr>
              <w:t>150</w:t>
            </w:r>
          </w:p>
        </w:tc>
        <w:tc>
          <w:tcPr>
            <w:tcW w:w="1080" w:type="dxa"/>
            <w:tcBorders>
              <w:top w:val="nil"/>
              <w:left w:val="nil"/>
              <w:bottom w:val="single" w:color="auto" w:sz="4" w:space="0"/>
              <w:right w:val="nil"/>
            </w:tcBorders>
            <w:shd w:val="clear" w:color="auto" w:fill="auto"/>
            <w:noWrap/>
            <w:vAlign w:val="bottom"/>
          </w:tcPr>
          <w:p w14:paraId="2F942B32">
            <w:pPr>
              <w:widowControl/>
              <w:jc w:val="center"/>
              <w:rPr>
                <w:color w:val="000000"/>
                <w:kern w:val="0"/>
                <w:szCs w:val="21"/>
              </w:rPr>
            </w:pPr>
            <w:r>
              <w:rPr>
                <w:color w:val="000000"/>
                <w:kern w:val="0"/>
                <w:szCs w:val="21"/>
              </w:rPr>
              <w:t>0</w:t>
            </w:r>
          </w:p>
        </w:tc>
        <w:tc>
          <w:tcPr>
            <w:tcW w:w="1080" w:type="dxa"/>
            <w:tcBorders>
              <w:top w:val="nil"/>
              <w:left w:val="nil"/>
              <w:bottom w:val="single" w:color="auto" w:sz="4" w:space="0"/>
              <w:right w:val="nil"/>
            </w:tcBorders>
            <w:shd w:val="clear" w:color="auto" w:fill="auto"/>
            <w:noWrap/>
            <w:vAlign w:val="bottom"/>
          </w:tcPr>
          <w:p w14:paraId="47FED2BB">
            <w:pPr>
              <w:widowControl/>
              <w:jc w:val="center"/>
              <w:rPr>
                <w:color w:val="000000"/>
                <w:kern w:val="0"/>
                <w:szCs w:val="21"/>
              </w:rPr>
            </w:pPr>
            <w:r>
              <w:rPr>
                <w:color w:val="000000"/>
                <w:kern w:val="0"/>
                <w:szCs w:val="21"/>
              </w:rPr>
              <w:t xml:space="preserve">0.00 </w:t>
            </w:r>
          </w:p>
        </w:tc>
      </w:tr>
      <w:tr w14:paraId="67358D5F">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5CD9E621">
            <w:pPr>
              <w:widowControl/>
              <w:jc w:val="left"/>
              <w:rPr>
                <w:color w:val="000000"/>
                <w:kern w:val="0"/>
                <w:szCs w:val="21"/>
              </w:rPr>
            </w:pPr>
          </w:p>
        </w:tc>
        <w:tc>
          <w:tcPr>
            <w:tcW w:w="1080" w:type="dxa"/>
            <w:vMerge w:val="restart"/>
            <w:tcBorders>
              <w:top w:val="nil"/>
              <w:left w:val="nil"/>
              <w:bottom w:val="single" w:color="000000" w:sz="4" w:space="0"/>
              <w:right w:val="nil"/>
            </w:tcBorders>
            <w:shd w:val="clear" w:color="auto" w:fill="auto"/>
            <w:vAlign w:val="center"/>
          </w:tcPr>
          <w:p w14:paraId="569DDD36">
            <w:pPr>
              <w:widowControl/>
              <w:jc w:val="center"/>
              <w:rPr>
                <w:color w:val="000000"/>
                <w:kern w:val="0"/>
                <w:szCs w:val="21"/>
              </w:rPr>
            </w:pPr>
            <w:r>
              <w:rPr>
                <w:color w:val="000000"/>
                <w:kern w:val="0"/>
                <w:szCs w:val="21"/>
              </w:rPr>
              <w:t>2017年4月</w:t>
            </w:r>
          </w:p>
        </w:tc>
        <w:tc>
          <w:tcPr>
            <w:tcW w:w="1080" w:type="dxa"/>
            <w:tcBorders>
              <w:top w:val="nil"/>
              <w:left w:val="nil"/>
              <w:bottom w:val="nil"/>
              <w:right w:val="nil"/>
            </w:tcBorders>
            <w:shd w:val="clear" w:color="auto" w:fill="auto"/>
            <w:vAlign w:val="center"/>
          </w:tcPr>
          <w:p w14:paraId="4DC3239F">
            <w:pPr>
              <w:widowControl/>
              <w:jc w:val="center"/>
              <w:rPr>
                <w:color w:val="000000"/>
                <w:kern w:val="0"/>
                <w:szCs w:val="21"/>
              </w:rPr>
            </w:pPr>
            <w:r>
              <w:rPr>
                <w:rFonts w:hAnsi="宋体"/>
                <w:color w:val="000000"/>
                <w:kern w:val="0"/>
                <w:szCs w:val="21"/>
              </w:rPr>
              <w:t>重庆华牧</w:t>
            </w:r>
          </w:p>
        </w:tc>
        <w:tc>
          <w:tcPr>
            <w:tcW w:w="1080" w:type="dxa"/>
            <w:tcBorders>
              <w:top w:val="nil"/>
              <w:left w:val="nil"/>
              <w:bottom w:val="nil"/>
              <w:right w:val="nil"/>
            </w:tcBorders>
            <w:shd w:val="clear" w:color="auto" w:fill="auto"/>
            <w:noWrap/>
            <w:vAlign w:val="bottom"/>
          </w:tcPr>
          <w:p w14:paraId="6196F06C">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1910D051">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04D6DD4D">
            <w:pPr>
              <w:widowControl/>
              <w:jc w:val="center"/>
              <w:rPr>
                <w:color w:val="000000"/>
                <w:kern w:val="0"/>
                <w:szCs w:val="21"/>
              </w:rPr>
            </w:pPr>
            <w:r>
              <w:rPr>
                <w:color w:val="000000"/>
                <w:kern w:val="0"/>
                <w:szCs w:val="21"/>
              </w:rPr>
              <w:t xml:space="preserve">0.00 </w:t>
            </w:r>
          </w:p>
        </w:tc>
      </w:tr>
      <w:tr w14:paraId="448A8709">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392ACDCD">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5B7B3491">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4537B8E3">
            <w:pPr>
              <w:widowControl/>
              <w:jc w:val="center"/>
              <w:rPr>
                <w:color w:val="000000"/>
                <w:kern w:val="0"/>
                <w:szCs w:val="21"/>
              </w:rPr>
            </w:pPr>
            <w:r>
              <w:rPr>
                <w:rFonts w:hAnsi="宋体"/>
                <w:color w:val="000000"/>
                <w:kern w:val="0"/>
                <w:szCs w:val="21"/>
              </w:rPr>
              <w:t>重庆旺峰</w:t>
            </w:r>
          </w:p>
        </w:tc>
        <w:tc>
          <w:tcPr>
            <w:tcW w:w="1080" w:type="dxa"/>
            <w:tcBorders>
              <w:top w:val="nil"/>
              <w:left w:val="nil"/>
              <w:bottom w:val="nil"/>
              <w:right w:val="nil"/>
            </w:tcBorders>
            <w:shd w:val="clear" w:color="auto" w:fill="auto"/>
            <w:noWrap/>
            <w:vAlign w:val="bottom"/>
          </w:tcPr>
          <w:p w14:paraId="39787A74">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6DAFB0B8">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22A52D6D">
            <w:pPr>
              <w:widowControl/>
              <w:jc w:val="center"/>
              <w:rPr>
                <w:color w:val="000000"/>
                <w:kern w:val="0"/>
                <w:szCs w:val="21"/>
              </w:rPr>
            </w:pPr>
            <w:r>
              <w:rPr>
                <w:color w:val="000000"/>
                <w:kern w:val="0"/>
                <w:szCs w:val="21"/>
              </w:rPr>
              <w:t xml:space="preserve">0.00 </w:t>
            </w:r>
          </w:p>
        </w:tc>
      </w:tr>
      <w:tr w14:paraId="21A46902">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1FC624F4">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37FDCA22">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284438F6">
            <w:pPr>
              <w:widowControl/>
              <w:jc w:val="center"/>
              <w:rPr>
                <w:color w:val="000000"/>
                <w:kern w:val="0"/>
                <w:szCs w:val="21"/>
              </w:rPr>
            </w:pPr>
            <w:r>
              <w:rPr>
                <w:rFonts w:hAnsi="宋体"/>
                <w:color w:val="000000"/>
                <w:kern w:val="0"/>
                <w:szCs w:val="21"/>
              </w:rPr>
              <w:t>重庆北碚</w:t>
            </w:r>
          </w:p>
        </w:tc>
        <w:tc>
          <w:tcPr>
            <w:tcW w:w="1080" w:type="dxa"/>
            <w:tcBorders>
              <w:top w:val="nil"/>
              <w:left w:val="nil"/>
              <w:bottom w:val="nil"/>
              <w:right w:val="nil"/>
            </w:tcBorders>
            <w:shd w:val="clear" w:color="auto" w:fill="auto"/>
            <w:noWrap/>
            <w:vAlign w:val="bottom"/>
          </w:tcPr>
          <w:p w14:paraId="70BB2FD5">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0642CD26">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3225EC6F">
            <w:pPr>
              <w:widowControl/>
              <w:jc w:val="center"/>
              <w:rPr>
                <w:color w:val="000000"/>
                <w:kern w:val="0"/>
                <w:szCs w:val="21"/>
              </w:rPr>
            </w:pPr>
            <w:r>
              <w:rPr>
                <w:color w:val="000000"/>
                <w:kern w:val="0"/>
                <w:szCs w:val="21"/>
              </w:rPr>
              <w:t xml:space="preserve">0.00 </w:t>
            </w:r>
          </w:p>
        </w:tc>
      </w:tr>
      <w:tr w14:paraId="0AF9A926">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20E03170">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286C8CB3">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4A17190E">
            <w:pPr>
              <w:widowControl/>
              <w:jc w:val="center"/>
              <w:rPr>
                <w:color w:val="000000"/>
                <w:kern w:val="0"/>
                <w:szCs w:val="21"/>
              </w:rPr>
            </w:pPr>
            <w:r>
              <w:rPr>
                <w:rFonts w:hAnsi="宋体"/>
                <w:color w:val="000000"/>
                <w:kern w:val="0"/>
                <w:szCs w:val="21"/>
              </w:rPr>
              <w:t>重庆超市</w:t>
            </w:r>
          </w:p>
        </w:tc>
        <w:tc>
          <w:tcPr>
            <w:tcW w:w="1080" w:type="dxa"/>
            <w:tcBorders>
              <w:top w:val="nil"/>
              <w:left w:val="nil"/>
              <w:bottom w:val="nil"/>
              <w:right w:val="nil"/>
            </w:tcBorders>
            <w:shd w:val="clear" w:color="auto" w:fill="auto"/>
            <w:noWrap/>
            <w:vAlign w:val="bottom"/>
          </w:tcPr>
          <w:p w14:paraId="71969ABF">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28352685">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21CA352C">
            <w:pPr>
              <w:widowControl/>
              <w:jc w:val="center"/>
              <w:rPr>
                <w:color w:val="000000"/>
                <w:kern w:val="0"/>
                <w:szCs w:val="21"/>
              </w:rPr>
            </w:pPr>
            <w:r>
              <w:rPr>
                <w:color w:val="000000"/>
                <w:kern w:val="0"/>
                <w:szCs w:val="21"/>
              </w:rPr>
              <w:t xml:space="preserve">0.00 </w:t>
            </w:r>
          </w:p>
        </w:tc>
      </w:tr>
      <w:tr w14:paraId="7411B5D3">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270BDA5E">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55721426">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5A64D09D">
            <w:pPr>
              <w:widowControl/>
              <w:jc w:val="center"/>
              <w:rPr>
                <w:color w:val="000000"/>
                <w:kern w:val="0"/>
                <w:szCs w:val="21"/>
              </w:rPr>
            </w:pPr>
            <w:r>
              <w:rPr>
                <w:rFonts w:hAnsi="宋体"/>
                <w:color w:val="000000"/>
                <w:kern w:val="0"/>
                <w:szCs w:val="21"/>
              </w:rPr>
              <w:t>农贸市场</w:t>
            </w:r>
          </w:p>
        </w:tc>
        <w:tc>
          <w:tcPr>
            <w:tcW w:w="1080" w:type="dxa"/>
            <w:tcBorders>
              <w:top w:val="nil"/>
              <w:left w:val="nil"/>
              <w:bottom w:val="nil"/>
              <w:right w:val="nil"/>
            </w:tcBorders>
            <w:shd w:val="clear" w:color="auto" w:fill="auto"/>
            <w:noWrap/>
            <w:vAlign w:val="bottom"/>
          </w:tcPr>
          <w:p w14:paraId="55FC0B1A">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434A03FA">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32CBFCCF">
            <w:pPr>
              <w:widowControl/>
              <w:jc w:val="center"/>
              <w:rPr>
                <w:color w:val="000000"/>
                <w:kern w:val="0"/>
                <w:szCs w:val="21"/>
              </w:rPr>
            </w:pPr>
            <w:r>
              <w:rPr>
                <w:color w:val="000000"/>
                <w:kern w:val="0"/>
                <w:szCs w:val="21"/>
              </w:rPr>
              <w:t xml:space="preserve">0.00 </w:t>
            </w:r>
          </w:p>
        </w:tc>
      </w:tr>
      <w:tr w14:paraId="534B2B62">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1F9DB031">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15DF7EBE">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2BD8DA26">
            <w:pPr>
              <w:widowControl/>
              <w:jc w:val="center"/>
              <w:rPr>
                <w:b/>
                <w:bCs/>
                <w:color w:val="000000"/>
                <w:kern w:val="0"/>
                <w:szCs w:val="21"/>
              </w:rPr>
            </w:pPr>
            <w:r>
              <w:rPr>
                <w:rFonts w:hAnsi="宋体"/>
                <w:b/>
                <w:bCs/>
                <w:color w:val="000000"/>
                <w:kern w:val="0"/>
                <w:szCs w:val="21"/>
              </w:rPr>
              <w:t>小计</w:t>
            </w:r>
          </w:p>
        </w:tc>
        <w:tc>
          <w:tcPr>
            <w:tcW w:w="1080" w:type="dxa"/>
            <w:tcBorders>
              <w:top w:val="nil"/>
              <w:left w:val="nil"/>
              <w:bottom w:val="nil"/>
              <w:right w:val="nil"/>
            </w:tcBorders>
            <w:shd w:val="clear" w:color="auto" w:fill="auto"/>
            <w:noWrap/>
            <w:vAlign w:val="bottom"/>
          </w:tcPr>
          <w:p w14:paraId="3064C764">
            <w:pPr>
              <w:widowControl/>
              <w:jc w:val="center"/>
              <w:rPr>
                <w:color w:val="000000"/>
                <w:kern w:val="0"/>
                <w:szCs w:val="21"/>
              </w:rPr>
            </w:pPr>
            <w:r>
              <w:rPr>
                <w:color w:val="000000"/>
                <w:kern w:val="0"/>
                <w:szCs w:val="21"/>
              </w:rPr>
              <w:t>150</w:t>
            </w:r>
          </w:p>
        </w:tc>
        <w:tc>
          <w:tcPr>
            <w:tcW w:w="1080" w:type="dxa"/>
            <w:tcBorders>
              <w:top w:val="nil"/>
              <w:left w:val="nil"/>
              <w:bottom w:val="nil"/>
              <w:right w:val="nil"/>
            </w:tcBorders>
            <w:shd w:val="clear" w:color="auto" w:fill="auto"/>
            <w:noWrap/>
            <w:vAlign w:val="bottom"/>
          </w:tcPr>
          <w:p w14:paraId="052AF042">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45F1B889">
            <w:pPr>
              <w:widowControl/>
              <w:jc w:val="center"/>
              <w:rPr>
                <w:color w:val="000000"/>
                <w:kern w:val="0"/>
                <w:szCs w:val="21"/>
              </w:rPr>
            </w:pPr>
            <w:r>
              <w:rPr>
                <w:color w:val="000000"/>
                <w:kern w:val="0"/>
                <w:szCs w:val="21"/>
              </w:rPr>
              <w:t xml:space="preserve">0.00 </w:t>
            </w:r>
          </w:p>
        </w:tc>
      </w:tr>
      <w:tr w14:paraId="4BBE41D0">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21FDA66E">
            <w:pPr>
              <w:widowControl/>
              <w:jc w:val="left"/>
              <w:rPr>
                <w:color w:val="000000"/>
                <w:kern w:val="0"/>
                <w:szCs w:val="21"/>
              </w:rPr>
            </w:pPr>
          </w:p>
        </w:tc>
        <w:tc>
          <w:tcPr>
            <w:tcW w:w="1080" w:type="dxa"/>
            <w:vMerge w:val="restart"/>
            <w:tcBorders>
              <w:top w:val="nil"/>
              <w:left w:val="nil"/>
              <w:bottom w:val="single" w:color="000000" w:sz="4" w:space="0"/>
              <w:right w:val="nil"/>
            </w:tcBorders>
            <w:shd w:val="clear" w:color="auto" w:fill="auto"/>
            <w:vAlign w:val="center"/>
          </w:tcPr>
          <w:p w14:paraId="3220216F">
            <w:pPr>
              <w:widowControl/>
              <w:jc w:val="center"/>
              <w:rPr>
                <w:color w:val="000000"/>
                <w:kern w:val="0"/>
                <w:szCs w:val="21"/>
              </w:rPr>
            </w:pPr>
            <w:r>
              <w:rPr>
                <w:color w:val="000000"/>
                <w:kern w:val="0"/>
                <w:szCs w:val="21"/>
              </w:rPr>
              <w:t>2017年11月</w:t>
            </w:r>
          </w:p>
        </w:tc>
        <w:tc>
          <w:tcPr>
            <w:tcW w:w="1080" w:type="dxa"/>
            <w:tcBorders>
              <w:top w:val="single" w:color="auto" w:sz="4" w:space="0"/>
              <w:left w:val="nil"/>
              <w:bottom w:val="nil"/>
              <w:right w:val="nil"/>
            </w:tcBorders>
            <w:shd w:val="clear" w:color="auto" w:fill="auto"/>
            <w:vAlign w:val="center"/>
          </w:tcPr>
          <w:p w14:paraId="3546CC3B">
            <w:pPr>
              <w:widowControl/>
              <w:jc w:val="center"/>
              <w:rPr>
                <w:color w:val="000000"/>
                <w:kern w:val="0"/>
                <w:szCs w:val="21"/>
              </w:rPr>
            </w:pPr>
            <w:r>
              <w:rPr>
                <w:rFonts w:hAnsi="宋体"/>
                <w:color w:val="000000"/>
                <w:kern w:val="0"/>
                <w:szCs w:val="21"/>
              </w:rPr>
              <w:t>重庆华牧</w:t>
            </w:r>
          </w:p>
        </w:tc>
        <w:tc>
          <w:tcPr>
            <w:tcW w:w="1080" w:type="dxa"/>
            <w:tcBorders>
              <w:top w:val="single" w:color="auto" w:sz="4" w:space="0"/>
              <w:left w:val="nil"/>
              <w:bottom w:val="nil"/>
              <w:right w:val="nil"/>
            </w:tcBorders>
            <w:shd w:val="clear" w:color="auto" w:fill="auto"/>
            <w:noWrap/>
            <w:vAlign w:val="bottom"/>
          </w:tcPr>
          <w:p w14:paraId="339FD988">
            <w:pPr>
              <w:widowControl/>
              <w:jc w:val="center"/>
              <w:rPr>
                <w:color w:val="000000"/>
                <w:kern w:val="0"/>
                <w:szCs w:val="21"/>
              </w:rPr>
            </w:pPr>
            <w:r>
              <w:rPr>
                <w:color w:val="000000"/>
                <w:kern w:val="0"/>
                <w:szCs w:val="21"/>
              </w:rPr>
              <w:t>30</w:t>
            </w:r>
          </w:p>
        </w:tc>
        <w:tc>
          <w:tcPr>
            <w:tcW w:w="1080" w:type="dxa"/>
            <w:tcBorders>
              <w:top w:val="single" w:color="auto" w:sz="4" w:space="0"/>
              <w:left w:val="nil"/>
              <w:bottom w:val="nil"/>
              <w:right w:val="nil"/>
            </w:tcBorders>
            <w:shd w:val="clear" w:color="auto" w:fill="auto"/>
            <w:noWrap/>
            <w:vAlign w:val="bottom"/>
          </w:tcPr>
          <w:p w14:paraId="18156DCE">
            <w:pPr>
              <w:widowControl/>
              <w:jc w:val="center"/>
              <w:rPr>
                <w:color w:val="000000"/>
                <w:kern w:val="0"/>
                <w:szCs w:val="21"/>
              </w:rPr>
            </w:pPr>
            <w:r>
              <w:rPr>
                <w:color w:val="000000"/>
                <w:kern w:val="0"/>
                <w:szCs w:val="21"/>
              </w:rPr>
              <w:t>0</w:t>
            </w:r>
          </w:p>
        </w:tc>
        <w:tc>
          <w:tcPr>
            <w:tcW w:w="1080" w:type="dxa"/>
            <w:tcBorders>
              <w:top w:val="single" w:color="auto" w:sz="4" w:space="0"/>
              <w:left w:val="nil"/>
              <w:bottom w:val="nil"/>
              <w:right w:val="nil"/>
            </w:tcBorders>
            <w:shd w:val="clear" w:color="auto" w:fill="auto"/>
            <w:noWrap/>
            <w:vAlign w:val="bottom"/>
          </w:tcPr>
          <w:p w14:paraId="556DF613">
            <w:pPr>
              <w:widowControl/>
              <w:jc w:val="center"/>
              <w:rPr>
                <w:color w:val="000000"/>
                <w:kern w:val="0"/>
                <w:szCs w:val="21"/>
              </w:rPr>
            </w:pPr>
            <w:r>
              <w:rPr>
                <w:color w:val="000000"/>
                <w:kern w:val="0"/>
                <w:szCs w:val="21"/>
              </w:rPr>
              <w:t xml:space="preserve">0.00 </w:t>
            </w:r>
          </w:p>
        </w:tc>
      </w:tr>
      <w:tr w14:paraId="7205B2C6">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75434FE5">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5045766E">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54433F7F">
            <w:pPr>
              <w:widowControl/>
              <w:jc w:val="center"/>
              <w:rPr>
                <w:color w:val="000000"/>
                <w:kern w:val="0"/>
                <w:szCs w:val="21"/>
              </w:rPr>
            </w:pPr>
            <w:r>
              <w:rPr>
                <w:rFonts w:hAnsi="宋体"/>
                <w:color w:val="000000"/>
                <w:kern w:val="0"/>
                <w:szCs w:val="21"/>
              </w:rPr>
              <w:t>重庆旺峰</w:t>
            </w:r>
          </w:p>
        </w:tc>
        <w:tc>
          <w:tcPr>
            <w:tcW w:w="1080" w:type="dxa"/>
            <w:tcBorders>
              <w:top w:val="nil"/>
              <w:left w:val="nil"/>
              <w:bottom w:val="nil"/>
              <w:right w:val="nil"/>
            </w:tcBorders>
            <w:shd w:val="clear" w:color="auto" w:fill="auto"/>
            <w:noWrap/>
            <w:vAlign w:val="bottom"/>
          </w:tcPr>
          <w:p w14:paraId="0095C445">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3382ADE1">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29C02AB2">
            <w:pPr>
              <w:widowControl/>
              <w:jc w:val="center"/>
              <w:rPr>
                <w:color w:val="000000"/>
                <w:kern w:val="0"/>
                <w:szCs w:val="21"/>
              </w:rPr>
            </w:pPr>
            <w:r>
              <w:rPr>
                <w:color w:val="000000"/>
                <w:kern w:val="0"/>
                <w:szCs w:val="21"/>
              </w:rPr>
              <w:t xml:space="preserve">0.00 </w:t>
            </w:r>
          </w:p>
        </w:tc>
      </w:tr>
      <w:tr w14:paraId="6C75D019">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14F19CFB">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6DCD6901">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6CA9A9C1">
            <w:pPr>
              <w:widowControl/>
              <w:jc w:val="center"/>
              <w:rPr>
                <w:color w:val="000000"/>
                <w:kern w:val="0"/>
                <w:szCs w:val="21"/>
              </w:rPr>
            </w:pPr>
            <w:r>
              <w:rPr>
                <w:rFonts w:hAnsi="宋体"/>
                <w:color w:val="000000"/>
                <w:kern w:val="0"/>
                <w:szCs w:val="21"/>
              </w:rPr>
              <w:t>重庆九龙坡</w:t>
            </w:r>
          </w:p>
        </w:tc>
        <w:tc>
          <w:tcPr>
            <w:tcW w:w="1080" w:type="dxa"/>
            <w:tcBorders>
              <w:top w:val="nil"/>
              <w:left w:val="nil"/>
              <w:bottom w:val="nil"/>
              <w:right w:val="nil"/>
            </w:tcBorders>
            <w:shd w:val="clear" w:color="auto" w:fill="auto"/>
            <w:noWrap/>
            <w:vAlign w:val="bottom"/>
          </w:tcPr>
          <w:p w14:paraId="65504844">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75E51DA2">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27648B7A">
            <w:pPr>
              <w:widowControl/>
              <w:jc w:val="center"/>
              <w:rPr>
                <w:color w:val="000000"/>
                <w:kern w:val="0"/>
                <w:szCs w:val="21"/>
              </w:rPr>
            </w:pPr>
            <w:r>
              <w:rPr>
                <w:color w:val="000000"/>
                <w:kern w:val="0"/>
                <w:szCs w:val="21"/>
              </w:rPr>
              <w:t xml:space="preserve">0.00 </w:t>
            </w:r>
          </w:p>
        </w:tc>
      </w:tr>
      <w:tr w14:paraId="24C9CF64">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35939B92">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2D9B158E">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2FB50BF9">
            <w:pPr>
              <w:widowControl/>
              <w:jc w:val="center"/>
              <w:rPr>
                <w:color w:val="000000"/>
                <w:kern w:val="0"/>
                <w:szCs w:val="21"/>
              </w:rPr>
            </w:pPr>
            <w:r>
              <w:rPr>
                <w:rFonts w:hAnsi="宋体"/>
                <w:color w:val="000000"/>
                <w:kern w:val="0"/>
                <w:szCs w:val="21"/>
              </w:rPr>
              <w:t>重庆超市</w:t>
            </w:r>
          </w:p>
        </w:tc>
        <w:tc>
          <w:tcPr>
            <w:tcW w:w="1080" w:type="dxa"/>
            <w:tcBorders>
              <w:top w:val="nil"/>
              <w:left w:val="nil"/>
              <w:bottom w:val="nil"/>
              <w:right w:val="nil"/>
            </w:tcBorders>
            <w:shd w:val="clear" w:color="auto" w:fill="auto"/>
            <w:noWrap/>
            <w:vAlign w:val="bottom"/>
          </w:tcPr>
          <w:p w14:paraId="36E30CB2">
            <w:pPr>
              <w:widowControl/>
              <w:jc w:val="center"/>
              <w:rPr>
                <w:color w:val="000000"/>
                <w:kern w:val="0"/>
                <w:szCs w:val="21"/>
              </w:rPr>
            </w:pPr>
            <w:r>
              <w:rPr>
                <w:color w:val="000000"/>
                <w:kern w:val="0"/>
                <w:szCs w:val="21"/>
              </w:rPr>
              <w:t>33</w:t>
            </w:r>
          </w:p>
        </w:tc>
        <w:tc>
          <w:tcPr>
            <w:tcW w:w="1080" w:type="dxa"/>
            <w:tcBorders>
              <w:top w:val="nil"/>
              <w:left w:val="nil"/>
              <w:bottom w:val="nil"/>
              <w:right w:val="nil"/>
            </w:tcBorders>
            <w:shd w:val="clear" w:color="auto" w:fill="auto"/>
            <w:noWrap/>
            <w:vAlign w:val="bottom"/>
          </w:tcPr>
          <w:p w14:paraId="7E40B966">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2D2B174B">
            <w:pPr>
              <w:widowControl/>
              <w:jc w:val="center"/>
              <w:rPr>
                <w:color w:val="000000"/>
                <w:kern w:val="0"/>
                <w:szCs w:val="21"/>
              </w:rPr>
            </w:pPr>
            <w:r>
              <w:rPr>
                <w:color w:val="000000"/>
                <w:kern w:val="0"/>
                <w:szCs w:val="21"/>
              </w:rPr>
              <w:t xml:space="preserve">0.00 </w:t>
            </w:r>
          </w:p>
        </w:tc>
      </w:tr>
      <w:tr w14:paraId="6AA555F0">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17311DB8">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358CFDF8">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4E8B0FF7">
            <w:pPr>
              <w:widowControl/>
              <w:jc w:val="center"/>
              <w:rPr>
                <w:color w:val="000000"/>
                <w:kern w:val="0"/>
                <w:szCs w:val="21"/>
              </w:rPr>
            </w:pPr>
            <w:r>
              <w:rPr>
                <w:rFonts w:hAnsi="宋体"/>
                <w:color w:val="000000"/>
                <w:kern w:val="0"/>
                <w:szCs w:val="21"/>
              </w:rPr>
              <w:t>农贸市场</w:t>
            </w:r>
          </w:p>
        </w:tc>
        <w:tc>
          <w:tcPr>
            <w:tcW w:w="1080" w:type="dxa"/>
            <w:tcBorders>
              <w:top w:val="nil"/>
              <w:left w:val="nil"/>
              <w:bottom w:val="nil"/>
              <w:right w:val="nil"/>
            </w:tcBorders>
            <w:shd w:val="clear" w:color="auto" w:fill="auto"/>
            <w:noWrap/>
            <w:vAlign w:val="bottom"/>
          </w:tcPr>
          <w:p w14:paraId="38A0EC3E">
            <w:pPr>
              <w:widowControl/>
              <w:jc w:val="center"/>
              <w:rPr>
                <w:color w:val="000000"/>
                <w:kern w:val="0"/>
                <w:szCs w:val="21"/>
              </w:rPr>
            </w:pPr>
            <w:r>
              <w:rPr>
                <w:color w:val="000000"/>
                <w:kern w:val="0"/>
                <w:szCs w:val="21"/>
              </w:rPr>
              <w:t>27</w:t>
            </w:r>
          </w:p>
        </w:tc>
        <w:tc>
          <w:tcPr>
            <w:tcW w:w="1080" w:type="dxa"/>
            <w:tcBorders>
              <w:top w:val="nil"/>
              <w:left w:val="nil"/>
              <w:bottom w:val="nil"/>
              <w:right w:val="nil"/>
            </w:tcBorders>
            <w:shd w:val="clear" w:color="auto" w:fill="auto"/>
            <w:noWrap/>
            <w:vAlign w:val="bottom"/>
          </w:tcPr>
          <w:p w14:paraId="26542729">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2EA766D8">
            <w:pPr>
              <w:widowControl/>
              <w:jc w:val="center"/>
              <w:rPr>
                <w:color w:val="000000"/>
                <w:kern w:val="0"/>
                <w:szCs w:val="21"/>
              </w:rPr>
            </w:pPr>
            <w:r>
              <w:rPr>
                <w:color w:val="000000"/>
                <w:kern w:val="0"/>
                <w:szCs w:val="21"/>
              </w:rPr>
              <w:t xml:space="preserve">0.00 </w:t>
            </w:r>
          </w:p>
        </w:tc>
      </w:tr>
      <w:tr w14:paraId="69D962F8">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29DDE642">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7CA02EDF">
            <w:pPr>
              <w:widowControl/>
              <w:jc w:val="left"/>
              <w:rPr>
                <w:color w:val="000000"/>
                <w:kern w:val="0"/>
                <w:szCs w:val="21"/>
              </w:rPr>
            </w:pPr>
          </w:p>
        </w:tc>
        <w:tc>
          <w:tcPr>
            <w:tcW w:w="1080" w:type="dxa"/>
            <w:tcBorders>
              <w:top w:val="nil"/>
              <w:left w:val="nil"/>
              <w:bottom w:val="single" w:color="auto" w:sz="4" w:space="0"/>
              <w:right w:val="nil"/>
            </w:tcBorders>
            <w:shd w:val="clear" w:color="auto" w:fill="auto"/>
            <w:vAlign w:val="center"/>
          </w:tcPr>
          <w:p w14:paraId="51780885">
            <w:pPr>
              <w:widowControl/>
              <w:jc w:val="center"/>
              <w:rPr>
                <w:b/>
                <w:bCs/>
                <w:color w:val="000000"/>
                <w:kern w:val="0"/>
                <w:szCs w:val="21"/>
              </w:rPr>
            </w:pPr>
            <w:r>
              <w:rPr>
                <w:rFonts w:hAnsi="宋体"/>
                <w:b/>
                <w:bCs/>
                <w:color w:val="000000"/>
                <w:kern w:val="0"/>
                <w:szCs w:val="21"/>
              </w:rPr>
              <w:t>小计</w:t>
            </w:r>
          </w:p>
        </w:tc>
        <w:tc>
          <w:tcPr>
            <w:tcW w:w="1080" w:type="dxa"/>
            <w:tcBorders>
              <w:top w:val="nil"/>
              <w:left w:val="nil"/>
              <w:bottom w:val="single" w:color="auto" w:sz="4" w:space="0"/>
              <w:right w:val="nil"/>
            </w:tcBorders>
            <w:shd w:val="clear" w:color="auto" w:fill="auto"/>
            <w:noWrap/>
            <w:vAlign w:val="bottom"/>
          </w:tcPr>
          <w:p w14:paraId="186153F6">
            <w:pPr>
              <w:widowControl/>
              <w:jc w:val="center"/>
              <w:rPr>
                <w:color w:val="000000"/>
                <w:kern w:val="0"/>
                <w:szCs w:val="21"/>
              </w:rPr>
            </w:pPr>
            <w:r>
              <w:rPr>
                <w:color w:val="000000"/>
                <w:kern w:val="0"/>
                <w:szCs w:val="21"/>
              </w:rPr>
              <w:t>150</w:t>
            </w:r>
          </w:p>
        </w:tc>
        <w:tc>
          <w:tcPr>
            <w:tcW w:w="1080" w:type="dxa"/>
            <w:tcBorders>
              <w:top w:val="nil"/>
              <w:left w:val="nil"/>
              <w:bottom w:val="single" w:color="auto" w:sz="4" w:space="0"/>
              <w:right w:val="nil"/>
            </w:tcBorders>
            <w:shd w:val="clear" w:color="auto" w:fill="auto"/>
            <w:noWrap/>
            <w:vAlign w:val="bottom"/>
          </w:tcPr>
          <w:p w14:paraId="1374DB27">
            <w:pPr>
              <w:widowControl/>
              <w:jc w:val="center"/>
              <w:rPr>
                <w:color w:val="000000"/>
                <w:kern w:val="0"/>
                <w:szCs w:val="21"/>
              </w:rPr>
            </w:pPr>
            <w:r>
              <w:rPr>
                <w:color w:val="000000"/>
                <w:kern w:val="0"/>
                <w:szCs w:val="21"/>
              </w:rPr>
              <w:t>0</w:t>
            </w:r>
          </w:p>
        </w:tc>
        <w:tc>
          <w:tcPr>
            <w:tcW w:w="1080" w:type="dxa"/>
            <w:tcBorders>
              <w:top w:val="nil"/>
              <w:left w:val="nil"/>
              <w:bottom w:val="single" w:color="auto" w:sz="4" w:space="0"/>
              <w:right w:val="nil"/>
            </w:tcBorders>
            <w:shd w:val="clear" w:color="auto" w:fill="auto"/>
            <w:noWrap/>
            <w:vAlign w:val="bottom"/>
          </w:tcPr>
          <w:p w14:paraId="53983C5E">
            <w:pPr>
              <w:widowControl/>
              <w:jc w:val="center"/>
              <w:rPr>
                <w:color w:val="000000"/>
                <w:kern w:val="0"/>
                <w:szCs w:val="21"/>
              </w:rPr>
            </w:pPr>
            <w:r>
              <w:rPr>
                <w:color w:val="000000"/>
                <w:kern w:val="0"/>
                <w:szCs w:val="21"/>
              </w:rPr>
              <w:t xml:space="preserve">0.00 </w:t>
            </w:r>
          </w:p>
        </w:tc>
      </w:tr>
      <w:tr w14:paraId="64CAFC0E">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057BECC2">
            <w:pPr>
              <w:widowControl/>
              <w:jc w:val="left"/>
              <w:rPr>
                <w:color w:val="000000"/>
                <w:kern w:val="0"/>
                <w:szCs w:val="21"/>
              </w:rPr>
            </w:pPr>
          </w:p>
        </w:tc>
        <w:tc>
          <w:tcPr>
            <w:tcW w:w="1080" w:type="dxa"/>
            <w:vMerge w:val="restart"/>
            <w:tcBorders>
              <w:top w:val="nil"/>
              <w:left w:val="nil"/>
              <w:bottom w:val="single" w:color="000000" w:sz="4" w:space="0"/>
              <w:right w:val="nil"/>
            </w:tcBorders>
            <w:shd w:val="clear" w:color="auto" w:fill="auto"/>
            <w:vAlign w:val="center"/>
          </w:tcPr>
          <w:p w14:paraId="4847EFEF">
            <w:pPr>
              <w:widowControl/>
              <w:jc w:val="center"/>
              <w:rPr>
                <w:color w:val="000000"/>
                <w:kern w:val="0"/>
                <w:szCs w:val="21"/>
              </w:rPr>
            </w:pPr>
            <w:r>
              <w:rPr>
                <w:color w:val="000000"/>
                <w:kern w:val="0"/>
                <w:szCs w:val="21"/>
              </w:rPr>
              <w:t>2018年4月</w:t>
            </w:r>
          </w:p>
        </w:tc>
        <w:tc>
          <w:tcPr>
            <w:tcW w:w="1080" w:type="dxa"/>
            <w:tcBorders>
              <w:top w:val="nil"/>
              <w:left w:val="nil"/>
              <w:bottom w:val="nil"/>
              <w:right w:val="nil"/>
            </w:tcBorders>
            <w:shd w:val="clear" w:color="auto" w:fill="auto"/>
            <w:vAlign w:val="center"/>
          </w:tcPr>
          <w:p w14:paraId="304B4A75">
            <w:pPr>
              <w:widowControl/>
              <w:jc w:val="center"/>
              <w:rPr>
                <w:color w:val="000000"/>
                <w:kern w:val="0"/>
                <w:szCs w:val="21"/>
              </w:rPr>
            </w:pPr>
            <w:r>
              <w:rPr>
                <w:rFonts w:hAnsi="宋体"/>
                <w:color w:val="000000"/>
                <w:kern w:val="0"/>
                <w:szCs w:val="21"/>
              </w:rPr>
              <w:t>重庆华牧</w:t>
            </w:r>
          </w:p>
        </w:tc>
        <w:tc>
          <w:tcPr>
            <w:tcW w:w="1080" w:type="dxa"/>
            <w:tcBorders>
              <w:top w:val="nil"/>
              <w:left w:val="nil"/>
              <w:bottom w:val="nil"/>
              <w:right w:val="nil"/>
            </w:tcBorders>
            <w:shd w:val="clear" w:color="auto" w:fill="auto"/>
            <w:noWrap/>
            <w:vAlign w:val="bottom"/>
          </w:tcPr>
          <w:p w14:paraId="32BDA4C8">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30494DA7">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428A7256">
            <w:pPr>
              <w:widowControl/>
              <w:jc w:val="center"/>
              <w:rPr>
                <w:color w:val="000000"/>
                <w:kern w:val="0"/>
                <w:szCs w:val="21"/>
              </w:rPr>
            </w:pPr>
            <w:r>
              <w:rPr>
                <w:color w:val="000000"/>
                <w:kern w:val="0"/>
                <w:szCs w:val="21"/>
              </w:rPr>
              <w:t xml:space="preserve">0.00 </w:t>
            </w:r>
          </w:p>
        </w:tc>
      </w:tr>
      <w:tr w14:paraId="2C326F3E">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61820928">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52C390B4">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464FAC89">
            <w:pPr>
              <w:widowControl/>
              <w:jc w:val="center"/>
              <w:rPr>
                <w:color w:val="000000"/>
                <w:kern w:val="0"/>
                <w:szCs w:val="21"/>
              </w:rPr>
            </w:pPr>
            <w:r>
              <w:rPr>
                <w:rFonts w:hAnsi="宋体"/>
                <w:color w:val="000000"/>
                <w:kern w:val="0"/>
                <w:szCs w:val="21"/>
              </w:rPr>
              <w:t>重庆旺峰</w:t>
            </w:r>
          </w:p>
        </w:tc>
        <w:tc>
          <w:tcPr>
            <w:tcW w:w="1080" w:type="dxa"/>
            <w:tcBorders>
              <w:top w:val="nil"/>
              <w:left w:val="nil"/>
              <w:bottom w:val="nil"/>
              <w:right w:val="nil"/>
            </w:tcBorders>
            <w:shd w:val="clear" w:color="auto" w:fill="auto"/>
            <w:noWrap/>
            <w:vAlign w:val="bottom"/>
          </w:tcPr>
          <w:p w14:paraId="22206F7C">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331E2852">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43623E5E">
            <w:pPr>
              <w:widowControl/>
              <w:jc w:val="center"/>
              <w:rPr>
                <w:color w:val="000000"/>
                <w:kern w:val="0"/>
                <w:szCs w:val="21"/>
              </w:rPr>
            </w:pPr>
            <w:r>
              <w:rPr>
                <w:color w:val="000000"/>
                <w:kern w:val="0"/>
                <w:szCs w:val="21"/>
              </w:rPr>
              <w:t xml:space="preserve">0.00 </w:t>
            </w:r>
          </w:p>
        </w:tc>
      </w:tr>
      <w:tr w14:paraId="612837ED">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4CC809F6">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780E2DE0">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1E483AAD">
            <w:pPr>
              <w:widowControl/>
              <w:jc w:val="center"/>
              <w:rPr>
                <w:color w:val="000000"/>
                <w:kern w:val="0"/>
                <w:szCs w:val="21"/>
              </w:rPr>
            </w:pPr>
            <w:r>
              <w:rPr>
                <w:rFonts w:hAnsi="宋体"/>
                <w:color w:val="000000"/>
                <w:kern w:val="0"/>
                <w:szCs w:val="21"/>
              </w:rPr>
              <w:t>重庆九龙坡</w:t>
            </w:r>
          </w:p>
        </w:tc>
        <w:tc>
          <w:tcPr>
            <w:tcW w:w="1080" w:type="dxa"/>
            <w:tcBorders>
              <w:top w:val="nil"/>
              <w:left w:val="nil"/>
              <w:bottom w:val="nil"/>
              <w:right w:val="nil"/>
            </w:tcBorders>
            <w:shd w:val="clear" w:color="auto" w:fill="auto"/>
            <w:noWrap/>
            <w:vAlign w:val="bottom"/>
          </w:tcPr>
          <w:p w14:paraId="038E3647">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61D73497">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0B1698CE">
            <w:pPr>
              <w:widowControl/>
              <w:jc w:val="center"/>
              <w:rPr>
                <w:color w:val="000000"/>
                <w:kern w:val="0"/>
                <w:szCs w:val="21"/>
              </w:rPr>
            </w:pPr>
            <w:r>
              <w:rPr>
                <w:color w:val="000000"/>
                <w:kern w:val="0"/>
                <w:szCs w:val="21"/>
              </w:rPr>
              <w:t xml:space="preserve">0.00 </w:t>
            </w:r>
          </w:p>
        </w:tc>
      </w:tr>
      <w:tr w14:paraId="36BDF2B3">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773D7D5A">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4F11BB21">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5B7ED2D1">
            <w:pPr>
              <w:widowControl/>
              <w:jc w:val="center"/>
              <w:rPr>
                <w:color w:val="000000"/>
                <w:kern w:val="0"/>
                <w:szCs w:val="21"/>
              </w:rPr>
            </w:pPr>
            <w:r>
              <w:rPr>
                <w:rFonts w:hAnsi="宋体"/>
                <w:color w:val="000000"/>
                <w:kern w:val="0"/>
                <w:szCs w:val="21"/>
              </w:rPr>
              <w:t>重庆超市</w:t>
            </w:r>
          </w:p>
        </w:tc>
        <w:tc>
          <w:tcPr>
            <w:tcW w:w="1080" w:type="dxa"/>
            <w:tcBorders>
              <w:top w:val="nil"/>
              <w:left w:val="nil"/>
              <w:bottom w:val="nil"/>
              <w:right w:val="nil"/>
            </w:tcBorders>
            <w:shd w:val="clear" w:color="auto" w:fill="auto"/>
            <w:noWrap/>
            <w:vAlign w:val="bottom"/>
          </w:tcPr>
          <w:p w14:paraId="2A7F610E">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1C98AFFC">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5134ABB8">
            <w:pPr>
              <w:widowControl/>
              <w:jc w:val="center"/>
              <w:rPr>
                <w:color w:val="000000"/>
                <w:kern w:val="0"/>
                <w:szCs w:val="21"/>
              </w:rPr>
            </w:pPr>
            <w:r>
              <w:rPr>
                <w:color w:val="000000"/>
                <w:kern w:val="0"/>
                <w:szCs w:val="21"/>
              </w:rPr>
              <w:t xml:space="preserve">0.00 </w:t>
            </w:r>
          </w:p>
        </w:tc>
      </w:tr>
      <w:tr w14:paraId="1823FBA5">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3B3EB0D0">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09F2F0A9">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11528C4B">
            <w:pPr>
              <w:widowControl/>
              <w:jc w:val="center"/>
              <w:rPr>
                <w:color w:val="000000"/>
                <w:kern w:val="0"/>
                <w:szCs w:val="21"/>
              </w:rPr>
            </w:pPr>
            <w:r>
              <w:rPr>
                <w:rFonts w:hAnsi="宋体"/>
                <w:color w:val="000000"/>
                <w:kern w:val="0"/>
                <w:szCs w:val="21"/>
              </w:rPr>
              <w:t>农贸市场</w:t>
            </w:r>
          </w:p>
        </w:tc>
        <w:tc>
          <w:tcPr>
            <w:tcW w:w="1080" w:type="dxa"/>
            <w:tcBorders>
              <w:top w:val="nil"/>
              <w:left w:val="nil"/>
              <w:bottom w:val="nil"/>
              <w:right w:val="nil"/>
            </w:tcBorders>
            <w:shd w:val="clear" w:color="auto" w:fill="auto"/>
            <w:noWrap/>
            <w:vAlign w:val="bottom"/>
          </w:tcPr>
          <w:p w14:paraId="439BD6C7">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351AA25D">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60198A39">
            <w:pPr>
              <w:widowControl/>
              <w:jc w:val="center"/>
              <w:rPr>
                <w:color w:val="000000"/>
                <w:kern w:val="0"/>
                <w:szCs w:val="21"/>
              </w:rPr>
            </w:pPr>
            <w:r>
              <w:rPr>
                <w:color w:val="000000"/>
                <w:kern w:val="0"/>
                <w:szCs w:val="21"/>
              </w:rPr>
              <w:t xml:space="preserve">0.00 </w:t>
            </w:r>
          </w:p>
        </w:tc>
      </w:tr>
      <w:tr w14:paraId="535A7C72">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1CB252FE">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5E8E9B5E">
            <w:pPr>
              <w:widowControl/>
              <w:jc w:val="left"/>
              <w:rPr>
                <w:color w:val="000000"/>
                <w:kern w:val="0"/>
                <w:szCs w:val="21"/>
              </w:rPr>
            </w:pPr>
          </w:p>
        </w:tc>
        <w:tc>
          <w:tcPr>
            <w:tcW w:w="1080" w:type="dxa"/>
            <w:tcBorders>
              <w:top w:val="nil"/>
              <w:left w:val="nil"/>
              <w:bottom w:val="single" w:color="auto" w:sz="4" w:space="0"/>
              <w:right w:val="nil"/>
            </w:tcBorders>
            <w:shd w:val="clear" w:color="auto" w:fill="auto"/>
            <w:vAlign w:val="center"/>
          </w:tcPr>
          <w:p w14:paraId="70D4B5F2">
            <w:pPr>
              <w:widowControl/>
              <w:jc w:val="center"/>
              <w:rPr>
                <w:b/>
                <w:bCs/>
                <w:color w:val="000000"/>
                <w:kern w:val="0"/>
                <w:szCs w:val="21"/>
              </w:rPr>
            </w:pPr>
            <w:r>
              <w:rPr>
                <w:rFonts w:hAnsi="宋体"/>
                <w:b/>
                <w:bCs/>
                <w:color w:val="000000"/>
                <w:kern w:val="0"/>
                <w:szCs w:val="21"/>
              </w:rPr>
              <w:t>小计</w:t>
            </w:r>
          </w:p>
        </w:tc>
        <w:tc>
          <w:tcPr>
            <w:tcW w:w="1080" w:type="dxa"/>
            <w:tcBorders>
              <w:top w:val="nil"/>
              <w:left w:val="nil"/>
              <w:bottom w:val="single" w:color="auto" w:sz="4" w:space="0"/>
              <w:right w:val="nil"/>
            </w:tcBorders>
            <w:shd w:val="clear" w:color="auto" w:fill="auto"/>
            <w:noWrap/>
            <w:vAlign w:val="bottom"/>
          </w:tcPr>
          <w:p w14:paraId="44C78464">
            <w:pPr>
              <w:widowControl/>
              <w:jc w:val="center"/>
              <w:rPr>
                <w:color w:val="000000"/>
                <w:kern w:val="0"/>
                <w:szCs w:val="21"/>
              </w:rPr>
            </w:pPr>
            <w:r>
              <w:rPr>
                <w:color w:val="000000"/>
                <w:kern w:val="0"/>
                <w:szCs w:val="21"/>
              </w:rPr>
              <w:t>150</w:t>
            </w:r>
          </w:p>
        </w:tc>
        <w:tc>
          <w:tcPr>
            <w:tcW w:w="1080" w:type="dxa"/>
            <w:tcBorders>
              <w:top w:val="nil"/>
              <w:left w:val="nil"/>
              <w:bottom w:val="single" w:color="auto" w:sz="4" w:space="0"/>
              <w:right w:val="nil"/>
            </w:tcBorders>
            <w:shd w:val="clear" w:color="auto" w:fill="auto"/>
            <w:noWrap/>
            <w:vAlign w:val="bottom"/>
          </w:tcPr>
          <w:p w14:paraId="720E23BF">
            <w:pPr>
              <w:widowControl/>
              <w:jc w:val="center"/>
              <w:rPr>
                <w:color w:val="000000"/>
                <w:kern w:val="0"/>
                <w:szCs w:val="21"/>
              </w:rPr>
            </w:pPr>
            <w:r>
              <w:rPr>
                <w:color w:val="000000"/>
                <w:kern w:val="0"/>
                <w:szCs w:val="21"/>
              </w:rPr>
              <w:t>0</w:t>
            </w:r>
          </w:p>
        </w:tc>
        <w:tc>
          <w:tcPr>
            <w:tcW w:w="1080" w:type="dxa"/>
            <w:tcBorders>
              <w:top w:val="nil"/>
              <w:left w:val="nil"/>
              <w:bottom w:val="single" w:color="auto" w:sz="4" w:space="0"/>
              <w:right w:val="nil"/>
            </w:tcBorders>
            <w:shd w:val="clear" w:color="auto" w:fill="auto"/>
            <w:noWrap/>
            <w:vAlign w:val="bottom"/>
          </w:tcPr>
          <w:p w14:paraId="6986544D">
            <w:pPr>
              <w:widowControl/>
              <w:jc w:val="center"/>
              <w:rPr>
                <w:color w:val="000000"/>
                <w:kern w:val="0"/>
                <w:szCs w:val="21"/>
              </w:rPr>
            </w:pPr>
            <w:r>
              <w:rPr>
                <w:color w:val="000000"/>
                <w:kern w:val="0"/>
                <w:szCs w:val="21"/>
              </w:rPr>
              <w:t xml:space="preserve">0.00 </w:t>
            </w:r>
          </w:p>
        </w:tc>
      </w:tr>
      <w:tr w14:paraId="6FBB366C">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460FC2B4">
            <w:pPr>
              <w:widowControl/>
              <w:jc w:val="left"/>
              <w:rPr>
                <w:color w:val="000000"/>
                <w:kern w:val="0"/>
                <w:szCs w:val="21"/>
              </w:rPr>
            </w:pPr>
          </w:p>
        </w:tc>
        <w:tc>
          <w:tcPr>
            <w:tcW w:w="1080" w:type="dxa"/>
            <w:vMerge w:val="restart"/>
            <w:tcBorders>
              <w:top w:val="nil"/>
              <w:left w:val="nil"/>
              <w:bottom w:val="single" w:color="000000" w:sz="4" w:space="0"/>
              <w:right w:val="nil"/>
            </w:tcBorders>
            <w:shd w:val="clear" w:color="auto" w:fill="auto"/>
            <w:vAlign w:val="center"/>
          </w:tcPr>
          <w:p w14:paraId="2A70BB98">
            <w:pPr>
              <w:widowControl/>
              <w:jc w:val="center"/>
              <w:rPr>
                <w:color w:val="000000"/>
                <w:kern w:val="0"/>
                <w:szCs w:val="21"/>
              </w:rPr>
            </w:pPr>
            <w:r>
              <w:rPr>
                <w:color w:val="000000"/>
                <w:kern w:val="0"/>
                <w:szCs w:val="21"/>
              </w:rPr>
              <w:t>2018年7月</w:t>
            </w:r>
          </w:p>
        </w:tc>
        <w:tc>
          <w:tcPr>
            <w:tcW w:w="1080" w:type="dxa"/>
            <w:tcBorders>
              <w:top w:val="nil"/>
              <w:left w:val="nil"/>
              <w:bottom w:val="nil"/>
              <w:right w:val="nil"/>
            </w:tcBorders>
            <w:shd w:val="clear" w:color="auto" w:fill="auto"/>
            <w:vAlign w:val="center"/>
          </w:tcPr>
          <w:p w14:paraId="41C46A64">
            <w:pPr>
              <w:widowControl/>
              <w:jc w:val="center"/>
              <w:rPr>
                <w:color w:val="000000"/>
                <w:kern w:val="0"/>
                <w:szCs w:val="21"/>
              </w:rPr>
            </w:pPr>
            <w:r>
              <w:rPr>
                <w:rFonts w:hAnsi="宋体"/>
                <w:color w:val="000000"/>
                <w:kern w:val="0"/>
                <w:szCs w:val="21"/>
              </w:rPr>
              <w:t>重庆华牧</w:t>
            </w:r>
          </w:p>
        </w:tc>
        <w:tc>
          <w:tcPr>
            <w:tcW w:w="1080" w:type="dxa"/>
            <w:tcBorders>
              <w:top w:val="nil"/>
              <w:left w:val="nil"/>
              <w:bottom w:val="nil"/>
              <w:right w:val="nil"/>
            </w:tcBorders>
            <w:shd w:val="clear" w:color="auto" w:fill="auto"/>
            <w:noWrap/>
            <w:vAlign w:val="bottom"/>
          </w:tcPr>
          <w:p w14:paraId="6E3CFA44">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18AFB2C8">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5380457C">
            <w:pPr>
              <w:widowControl/>
              <w:jc w:val="center"/>
              <w:rPr>
                <w:color w:val="000000"/>
                <w:kern w:val="0"/>
                <w:szCs w:val="21"/>
              </w:rPr>
            </w:pPr>
            <w:r>
              <w:rPr>
                <w:color w:val="000000"/>
                <w:kern w:val="0"/>
                <w:szCs w:val="21"/>
              </w:rPr>
              <w:t xml:space="preserve">0.00 </w:t>
            </w:r>
          </w:p>
        </w:tc>
      </w:tr>
      <w:tr w14:paraId="08FD1598">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10E08ACB">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088ED3A9">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0110A0B7">
            <w:pPr>
              <w:widowControl/>
              <w:jc w:val="center"/>
              <w:rPr>
                <w:color w:val="000000"/>
                <w:kern w:val="0"/>
                <w:szCs w:val="21"/>
              </w:rPr>
            </w:pPr>
            <w:r>
              <w:rPr>
                <w:rFonts w:hAnsi="宋体"/>
                <w:color w:val="000000"/>
                <w:kern w:val="0"/>
                <w:szCs w:val="21"/>
              </w:rPr>
              <w:t>重庆旺峰</w:t>
            </w:r>
          </w:p>
        </w:tc>
        <w:tc>
          <w:tcPr>
            <w:tcW w:w="1080" w:type="dxa"/>
            <w:tcBorders>
              <w:top w:val="nil"/>
              <w:left w:val="nil"/>
              <w:bottom w:val="nil"/>
              <w:right w:val="nil"/>
            </w:tcBorders>
            <w:shd w:val="clear" w:color="auto" w:fill="auto"/>
            <w:noWrap/>
            <w:vAlign w:val="bottom"/>
          </w:tcPr>
          <w:p w14:paraId="570F6DCE">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32407767">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02513D30">
            <w:pPr>
              <w:widowControl/>
              <w:jc w:val="center"/>
              <w:rPr>
                <w:color w:val="000000"/>
                <w:kern w:val="0"/>
                <w:szCs w:val="21"/>
              </w:rPr>
            </w:pPr>
            <w:r>
              <w:rPr>
                <w:color w:val="000000"/>
                <w:kern w:val="0"/>
                <w:szCs w:val="21"/>
              </w:rPr>
              <w:t xml:space="preserve">0.00 </w:t>
            </w:r>
          </w:p>
        </w:tc>
      </w:tr>
      <w:tr w14:paraId="345A07EF">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0A9A1F71">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154D0194">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1FAABC10">
            <w:pPr>
              <w:widowControl/>
              <w:jc w:val="center"/>
              <w:rPr>
                <w:color w:val="000000"/>
                <w:kern w:val="0"/>
                <w:szCs w:val="21"/>
              </w:rPr>
            </w:pPr>
            <w:r>
              <w:rPr>
                <w:rFonts w:hAnsi="宋体"/>
                <w:color w:val="000000"/>
                <w:kern w:val="0"/>
                <w:szCs w:val="21"/>
              </w:rPr>
              <w:t>重庆九龙坡</w:t>
            </w:r>
          </w:p>
        </w:tc>
        <w:tc>
          <w:tcPr>
            <w:tcW w:w="1080" w:type="dxa"/>
            <w:tcBorders>
              <w:top w:val="nil"/>
              <w:left w:val="nil"/>
              <w:bottom w:val="nil"/>
              <w:right w:val="nil"/>
            </w:tcBorders>
            <w:shd w:val="clear" w:color="auto" w:fill="auto"/>
            <w:noWrap/>
            <w:vAlign w:val="bottom"/>
          </w:tcPr>
          <w:p w14:paraId="5762FD9A">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4597B0AB">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48338FD6">
            <w:pPr>
              <w:widowControl/>
              <w:jc w:val="center"/>
              <w:rPr>
                <w:color w:val="000000"/>
                <w:kern w:val="0"/>
                <w:szCs w:val="21"/>
              </w:rPr>
            </w:pPr>
            <w:r>
              <w:rPr>
                <w:color w:val="000000"/>
                <w:kern w:val="0"/>
                <w:szCs w:val="21"/>
              </w:rPr>
              <w:t xml:space="preserve">0.00 </w:t>
            </w:r>
          </w:p>
        </w:tc>
      </w:tr>
      <w:tr w14:paraId="6227CB31">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65029991">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6315CAC4">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1C70F7E5">
            <w:pPr>
              <w:widowControl/>
              <w:jc w:val="center"/>
              <w:rPr>
                <w:color w:val="000000"/>
                <w:kern w:val="0"/>
                <w:szCs w:val="21"/>
              </w:rPr>
            </w:pPr>
            <w:r>
              <w:rPr>
                <w:rFonts w:hAnsi="宋体"/>
                <w:color w:val="000000"/>
                <w:kern w:val="0"/>
                <w:szCs w:val="21"/>
              </w:rPr>
              <w:t>重庆超市</w:t>
            </w:r>
          </w:p>
        </w:tc>
        <w:tc>
          <w:tcPr>
            <w:tcW w:w="1080" w:type="dxa"/>
            <w:tcBorders>
              <w:top w:val="nil"/>
              <w:left w:val="nil"/>
              <w:bottom w:val="nil"/>
              <w:right w:val="nil"/>
            </w:tcBorders>
            <w:shd w:val="clear" w:color="auto" w:fill="auto"/>
            <w:noWrap/>
            <w:vAlign w:val="bottom"/>
          </w:tcPr>
          <w:p w14:paraId="5CE79CF1">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754EC777">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19FBE2AA">
            <w:pPr>
              <w:widowControl/>
              <w:jc w:val="center"/>
              <w:rPr>
                <w:color w:val="000000"/>
                <w:kern w:val="0"/>
                <w:szCs w:val="21"/>
              </w:rPr>
            </w:pPr>
            <w:r>
              <w:rPr>
                <w:color w:val="000000"/>
                <w:kern w:val="0"/>
                <w:szCs w:val="21"/>
              </w:rPr>
              <w:t xml:space="preserve">0.00 </w:t>
            </w:r>
          </w:p>
        </w:tc>
      </w:tr>
      <w:tr w14:paraId="1FAD18C1">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570CAE78">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0AFE0FFD">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426996CD">
            <w:pPr>
              <w:widowControl/>
              <w:jc w:val="center"/>
              <w:rPr>
                <w:color w:val="000000"/>
                <w:kern w:val="0"/>
                <w:szCs w:val="21"/>
              </w:rPr>
            </w:pPr>
            <w:r>
              <w:rPr>
                <w:rFonts w:hAnsi="宋体"/>
                <w:color w:val="000000"/>
                <w:kern w:val="0"/>
                <w:szCs w:val="21"/>
              </w:rPr>
              <w:t>农贸市场</w:t>
            </w:r>
          </w:p>
        </w:tc>
        <w:tc>
          <w:tcPr>
            <w:tcW w:w="1080" w:type="dxa"/>
            <w:tcBorders>
              <w:top w:val="nil"/>
              <w:left w:val="nil"/>
              <w:bottom w:val="nil"/>
              <w:right w:val="nil"/>
            </w:tcBorders>
            <w:shd w:val="clear" w:color="auto" w:fill="auto"/>
            <w:noWrap/>
            <w:vAlign w:val="bottom"/>
          </w:tcPr>
          <w:p w14:paraId="63167B29">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5A28880F">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16867EB8">
            <w:pPr>
              <w:widowControl/>
              <w:jc w:val="center"/>
              <w:rPr>
                <w:color w:val="000000"/>
                <w:kern w:val="0"/>
                <w:szCs w:val="21"/>
              </w:rPr>
            </w:pPr>
            <w:r>
              <w:rPr>
                <w:color w:val="000000"/>
                <w:kern w:val="0"/>
                <w:szCs w:val="21"/>
              </w:rPr>
              <w:t xml:space="preserve">0.00 </w:t>
            </w:r>
          </w:p>
        </w:tc>
      </w:tr>
      <w:tr w14:paraId="581CD240">
        <w:tblPrEx>
          <w:tblCellMar>
            <w:top w:w="0" w:type="dxa"/>
            <w:left w:w="108" w:type="dxa"/>
            <w:bottom w:w="0" w:type="dxa"/>
            <w:right w:w="108" w:type="dxa"/>
          </w:tblCellMar>
        </w:tblPrEx>
        <w:trPr>
          <w:trHeight w:val="270" w:hRule="atLeast"/>
          <w:jc w:val="center"/>
        </w:trPr>
        <w:tc>
          <w:tcPr>
            <w:tcW w:w="1080" w:type="dxa"/>
            <w:vMerge w:val="continue"/>
            <w:tcBorders>
              <w:top w:val="nil"/>
              <w:left w:val="nil"/>
              <w:bottom w:val="nil"/>
              <w:right w:val="nil"/>
            </w:tcBorders>
            <w:vAlign w:val="center"/>
          </w:tcPr>
          <w:p w14:paraId="5BE8962E">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4DCAB670">
            <w:pPr>
              <w:widowControl/>
              <w:jc w:val="left"/>
              <w:rPr>
                <w:color w:val="000000"/>
                <w:kern w:val="0"/>
                <w:szCs w:val="21"/>
              </w:rPr>
            </w:pPr>
          </w:p>
        </w:tc>
        <w:tc>
          <w:tcPr>
            <w:tcW w:w="1080" w:type="dxa"/>
            <w:tcBorders>
              <w:top w:val="nil"/>
              <w:left w:val="nil"/>
              <w:bottom w:val="single" w:color="auto" w:sz="4" w:space="0"/>
              <w:right w:val="nil"/>
            </w:tcBorders>
            <w:shd w:val="clear" w:color="auto" w:fill="auto"/>
            <w:vAlign w:val="center"/>
          </w:tcPr>
          <w:p w14:paraId="39A75DA3">
            <w:pPr>
              <w:widowControl/>
              <w:jc w:val="center"/>
              <w:rPr>
                <w:b/>
                <w:bCs/>
                <w:color w:val="000000"/>
                <w:kern w:val="0"/>
                <w:szCs w:val="21"/>
              </w:rPr>
            </w:pPr>
            <w:r>
              <w:rPr>
                <w:rFonts w:hAnsi="宋体"/>
                <w:b/>
                <w:bCs/>
                <w:color w:val="000000"/>
                <w:kern w:val="0"/>
                <w:szCs w:val="21"/>
              </w:rPr>
              <w:t>小计</w:t>
            </w:r>
          </w:p>
        </w:tc>
        <w:tc>
          <w:tcPr>
            <w:tcW w:w="1080" w:type="dxa"/>
            <w:tcBorders>
              <w:top w:val="nil"/>
              <w:left w:val="nil"/>
              <w:bottom w:val="single" w:color="auto" w:sz="4" w:space="0"/>
              <w:right w:val="nil"/>
            </w:tcBorders>
            <w:shd w:val="clear" w:color="auto" w:fill="auto"/>
            <w:noWrap/>
            <w:vAlign w:val="bottom"/>
          </w:tcPr>
          <w:p w14:paraId="6DC10BB1">
            <w:pPr>
              <w:widowControl/>
              <w:jc w:val="center"/>
              <w:rPr>
                <w:color w:val="000000"/>
                <w:kern w:val="0"/>
                <w:szCs w:val="21"/>
              </w:rPr>
            </w:pPr>
            <w:r>
              <w:rPr>
                <w:color w:val="000000"/>
                <w:kern w:val="0"/>
                <w:szCs w:val="21"/>
              </w:rPr>
              <w:t>150</w:t>
            </w:r>
          </w:p>
        </w:tc>
        <w:tc>
          <w:tcPr>
            <w:tcW w:w="1080" w:type="dxa"/>
            <w:tcBorders>
              <w:top w:val="nil"/>
              <w:left w:val="nil"/>
              <w:bottom w:val="single" w:color="auto" w:sz="4" w:space="0"/>
              <w:right w:val="nil"/>
            </w:tcBorders>
            <w:shd w:val="clear" w:color="auto" w:fill="auto"/>
            <w:noWrap/>
            <w:vAlign w:val="bottom"/>
          </w:tcPr>
          <w:p w14:paraId="7E71BE66">
            <w:pPr>
              <w:widowControl/>
              <w:jc w:val="center"/>
              <w:rPr>
                <w:color w:val="000000"/>
                <w:kern w:val="0"/>
                <w:szCs w:val="21"/>
              </w:rPr>
            </w:pPr>
            <w:r>
              <w:rPr>
                <w:color w:val="000000"/>
                <w:kern w:val="0"/>
                <w:szCs w:val="21"/>
              </w:rPr>
              <w:t>0</w:t>
            </w:r>
          </w:p>
        </w:tc>
        <w:tc>
          <w:tcPr>
            <w:tcW w:w="1080" w:type="dxa"/>
            <w:tcBorders>
              <w:top w:val="nil"/>
              <w:left w:val="nil"/>
              <w:bottom w:val="single" w:color="auto" w:sz="4" w:space="0"/>
              <w:right w:val="nil"/>
            </w:tcBorders>
            <w:shd w:val="clear" w:color="auto" w:fill="auto"/>
            <w:noWrap/>
            <w:vAlign w:val="bottom"/>
          </w:tcPr>
          <w:p w14:paraId="73CCE579">
            <w:pPr>
              <w:widowControl/>
              <w:jc w:val="center"/>
              <w:rPr>
                <w:color w:val="000000"/>
                <w:kern w:val="0"/>
                <w:szCs w:val="21"/>
              </w:rPr>
            </w:pPr>
            <w:r>
              <w:rPr>
                <w:color w:val="000000"/>
                <w:kern w:val="0"/>
                <w:szCs w:val="21"/>
              </w:rPr>
              <w:t xml:space="preserve">0.00 </w:t>
            </w:r>
          </w:p>
        </w:tc>
      </w:tr>
      <w:tr w14:paraId="36456820">
        <w:tblPrEx>
          <w:tblCellMar>
            <w:top w:w="0" w:type="dxa"/>
            <w:left w:w="108" w:type="dxa"/>
            <w:bottom w:w="0" w:type="dxa"/>
            <w:right w:w="108" w:type="dxa"/>
          </w:tblCellMar>
        </w:tblPrEx>
        <w:trPr>
          <w:trHeight w:val="285" w:hRule="atLeast"/>
          <w:jc w:val="center"/>
        </w:trPr>
        <w:tc>
          <w:tcPr>
            <w:tcW w:w="3240" w:type="dxa"/>
            <w:gridSpan w:val="3"/>
            <w:tcBorders>
              <w:top w:val="nil"/>
              <w:left w:val="nil"/>
              <w:bottom w:val="single" w:color="auto" w:sz="4" w:space="0"/>
              <w:right w:val="nil"/>
            </w:tcBorders>
            <w:shd w:val="clear" w:color="auto" w:fill="auto"/>
            <w:noWrap/>
            <w:vAlign w:val="center"/>
          </w:tcPr>
          <w:p w14:paraId="0966F2C0">
            <w:pPr>
              <w:widowControl/>
              <w:jc w:val="center"/>
              <w:rPr>
                <w:b/>
                <w:bCs/>
                <w:color w:val="000000"/>
                <w:kern w:val="0"/>
                <w:szCs w:val="21"/>
              </w:rPr>
            </w:pPr>
            <w:r>
              <w:rPr>
                <w:rFonts w:hAnsi="宋体"/>
                <w:b/>
                <w:bCs/>
                <w:color w:val="000000"/>
                <w:kern w:val="0"/>
                <w:szCs w:val="21"/>
              </w:rPr>
              <w:t>合计</w:t>
            </w:r>
          </w:p>
        </w:tc>
        <w:tc>
          <w:tcPr>
            <w:tcW w:w="1080" w:type="dxa"/>
            <w:tcBorders>
              <w:top w:val="nil"/>
              <w:left w:val="nil"/>
              <w:bottom w:val="single" w:color="auto" w:sz="4" w:space="0"/>
              <w:right w:val="nil"/>
            </w:tcBorders>
            <w:shd w:val="clear" w:color="auto" w:fill="auto"/>
            <w:noWrap/>
            <w:vAlign w:val="center"/>
          </w:tcPr>
          <w:p w14:paraId="62D6C1EB">
            <w:pPr>
              <w:widowControl/>
              <w:jc w:val="center"/>
              <w:rPr>
                <w:b/>
                <w:bCs/>
                <w:color w:val="000000"/>
                <w:kern w:val="0"/>
                <w:szCs w:val="21"/>
              </w:rPr>
            </w:pPr>
            <w:r>
              <w:rPr>
                <w:b/>
                <w:bCs/>
                <w:color w:val="000000"/>
                <w:kern w:val="0"/>
                <w:szCs w:val="21"/>
              </w:rPr>
              <w:t>1073</w:t>
            </w:r>
          </w:p>
        </w:tc>
        <w:tc>
          <w:tcPr>
            <w:tcW w:w="1080" w:type="dxa"/>
            <w:tcBorders>
              <w:top w:val="nil"/>
              <w:left w:val="nil"/>
              <w:bottom w:val="single" w:color="auto" w:sz="4" w:space="0"/>
              <w:right w:val="nil"/>
            </w:tcBorders>
            <w:shd w:val="clear" w:color="auto" w:fill="auto"/>
            <w:noWrap/>
            <w:vAlign w:val="center"/>
          </w:tcPr>
          <w:p w14:paraId="4C970B25">
            <w:pPr>
              <w:widowControl/>
              <w:jc w:val="center"/>
              <w:rPr>
                <w:b/>
                <w:bCs/>
                <w:color w:val="000000"/>
                <w:kern w:val="0"/>
                <w:szCs w:val="21"/>
              </w:rPr>
            </w:pPr>
            <w:r>
              <w:rPr>
                <w:b/>
                <w:bCs/>
                <w:color w:val="000000"/>
                <w:kern w:val="0"/>
                <w:szCs w:val="21"/>
              </w:rPr>
              <w:t>4</w:t>
            </w:r>
          </w:p>
        </w:tc>
        <w:tc>
          <w:tcPr>
            <w:tcW w:w="1080" w:type="dxa"/>
            <w:tcBorders>
              <w:top w:val="nil"/>
              <w:left w:val="nil"/>
              <w:bottom w:val="single" w:color="auto" w:sz="4" w:space="0"/>
              <w:right w:val="nil"/>
            </w:tcBorders>
            <w:shd w:val="clear" w:color="auto" w:fill="auto"/>
            <w:noWrap/>
            <w:vAlign w:val="center"/>
          </w:tcPr>
          <w:p w14:paraId="37CD5C3E">
            <w:pPr>
              <w:widowControl/>
              <w:jc w:val="center"/>
              <w:rPr>
                <w:b/>
                <w:bCs/>
                <w:color w:val="000000"/>
                <w:kern w:val="0"/>
                <w:szCs w:val="21"/>
              </w:rPr>
            </w:pPr>
            <w:r>
              <w:rPr>
                <w:b/>
                <w:bCs/>
                <w:color w:val="000000"/>
                <w:kern w:val="0"/>
                <w:szCs w:val="21"/>
              </w:rPr>
              <w:t>0.37</w:t>
            </w:r>
          </w:p>
        </w:tc>
      </w:tr>
      <w:tr w14:paraId="1CD05C4E">
        <w:tblPrEx>
          <w:tblCellMar>
            <w:top w:w="0" w:type="dxa"/>
            <w:left w:w="108" w:type="dxa"/>
            <w:bottom w:w="0" w:type="dxa"/>
            <w:right w:w="108" w:type="dxa"/>
          </w:tblCellMar>
        </w:tblPrEx>
        <w:trPr>
          <w:trHeight w:val="270" w:hRule="atLeast"/>
          <w:jc w:val="center"/>
        </w:trPr>
        <w:tc>
          <w:tcPr>
            <w:tcW w:w="1080" w:type="dxa"/>
            <w:vMerge w:val="restart"/>
            <w:tcBorders>
              <w:top w:val="nil"/>
              <w:left w:val="nil"/>
              <w:right w:val="nil"/>
            </w:tcBorders>
            <w:shd w:val="clear" w:color="auto" w:fill="auto"/>
            <w:noWrap/>
            <w:vAlign w:val="center"/>
          </w:tcPr>
          <w:p w14:paraId="6A28CC4A">
            <w:pPr>
              <w:widowControl/>
              <w:jc w:val="center"/>
              <w:rPr>
                <w:color w:val="000000"/>
                <w:kern w:val="0"/>
                <w:szCs w:val="21"/>
              </w:rPr>
            </w:pPr>
            <w:r>
              <w:rPr>
                <w:rFonts w:hAnsi="宋体"/>
                <w:color w:val="000000"/>
                <w:kern w:val="0"/>
                <w:szCs w:val="21"/>
              </w:rPr>
              <w:t>广州</w:t>
            </w:r>
          </w:p>
        </w:tc>
        <w:tc>
          <w:tcPr>
            <w:tcW w:w="1080" w:type="dxa"/>
            <w:vMerge w:val="restart"/>
            <w:tcBorders>
              <w:top w:val="single" w:color="auto" w:sz="8" w:space="0"/>
              <w:left w:val="nil"/>
              <w:bottom w:val="single" w:color="000000" w:sz="4" w:space="0"/>
              <w:right w:val="nil"/>
            </w:tcBorders>
            <w:shd w:val="clear" w:color="auto" w:fill="auto"/>
            <w:vAlign w:val="center"/>
          </w:tcPr>
          <w:p w14:paraId="0DD53F88">
            <w:pPr>
              <w:widowControl/>
              <w:jc w:val="center"/>
              <w:rPr>
                <w:color w:val="000000"/>
                <w:kern w:val="0"/>
                <w:szCs w:val="21"/>
              </w:rPr>
            </w:pPr>
            <w:r>
              <w:rPr>
                <w:color w:val="000000"/>
                <w:kern w:val="0"/>
                <w:szCs w:val="21"/>
              </w:rPr>
              <w:t>2015</w:t>
            </w:r>
            <w:r>
              <w:rPr>
                <w:rFonts w:hAnsi="Calibri"/>
                <w:color w:val="000000"/>
                <w:kern w:val="0"/>
                <w:szCs w:val="21"/>
              </w:rPr>
              <w:t>年</w:t>
            </w:r>
            <w:r>
              <w:rPr>
                <w:color w:val="000000"/>
                <w:kern w:val="0"/>
                <w:szCs w:val="21"/>
              </w:rPr>
              <w:t>10</w:t>
            </w:r>
            <w:r>
              <w:rPr>
                <w:rFonts w:hAnsi="Calibri"/>
                <w:color w:val="000000"/>
                <w:kern w:val="0"/>
                <w:szCs w:val="21"/>
              </w:rPr>
              <w:t>月</w:t>
            </w:r>
          </w:p>
        </w:tc>
        <w:tc>
          <w:tcPr>
            <w:tcW w:w="1080" w:type="dxa"/>
            <w:tcBorders>
              <w:top w:val="single" w:color="auto" w:sz="8" w:space="0"/>
              <w:left w:val="nil"/>
              <w:bottom w:val="nil"/>
              <w:right w:val="nil"/>
            </w:tcBorders>
            <w:shd w:val="clear" w:color="auto" w:fill="auto"/>
            <w:vAlign w:val="center"/>
          </w:tcPr>
          <w:p w14:paraId="5EBA66D8">
            <w:pPr>
              <w:widowControl/>
              <w:jc w:val="center"/>
              <w:rPr>
                <w:color w:val="000000"/>
                <w:kern w:val="0"/>
                <w:szCs w:val="21"/>
              </w:rPr>
            </w:pPr>
            <w:r>
              <w:rPr>
                <w:rFonts w:hAnsi="宋体"/>
                <w:color w:val="000000"/>
                <w:kern w:val="0"/>
                <w:szCs w:val="21"/>
              </w:rPr>
              <w:t>白云</w:t>
            </w:r>
          </w:p>
        </w:tc>
        <w:tc>
          <w:tcPr>
            <w:tcW w:w="1080" w:type="dxa"/>
            <w:tcBorders>
              <w:top w:val="nil"/>
              <w:left w:val="nil"/>
              <w:bottom w:val="nil"/>
              <w:right w:val="nil"/>
            </w:tcBorders>
            <w:shd w:val="clear" w:color="auto" w:fill="auto"/>
            <w:noWrap/>
            <w:vAlign w:val="bottom"/>
          </w:tcPr>
          <w:p w14:paraId="5303CF2D">
            <w:pPr>
              <w:widowControl/>
              <w:jc w:val="center"/>
              <w:rPr>
                <w:color w:val="000000"/>
                <w:kern w:val="0"/>
                <w:szCs w:val="21"/>
              </w:rPr>
            </w:pPr>
            <w:r>
              <w:rPr>
                <w:color w:val="000000"/>
                <w:kern w:val="0"/>
                <w:szCs w:val="21"/>
              </w:rPr>
              <w:t>60</w:t>
            </w:r>
          </w:p>
        </w:tc>
        <w:tc>
          <w:tcPr>
            <w:tcW w:w="1080" w:type="dxa"/>
            <w:tcBorders>
              <w:top w:val="nil"/>
              <w:left w:val="nil"/>
              <w:bottom w:val="nil"/>
              <w:right w:val="nil"/>
            </w:tcBorders>
            <w:shd w:val="clear" w:color="auto" w:fill="auto"/>
            <w:noWrap/>
            <w:vAlign w:val="bottom"/>
          </w:tcPr>
          <w:p w14:paraId="5184DEAB">
            <w:pPr>
              <w:widowControl/>
              <w:jc w:val="center"/>
              <w:rPr>
                <w:color w:val="000000"/>
                <w:kern w:val="0"/>
                <w:szCs w:val="21"/>
              </w:rPr>
            </w:pPr>
            <w:r>
              <w:rPr>
                <w:color w:val="000000"/>
                <w:kern w:val="0"/>
                <w:szCs w:val="21"/>
              </w:rPr>
              <w:t>2</w:t>
            </w:r>
          </w:p>
        </w:tc>
        <w:tc>
          <w:tcPr>
            <w:tcW w:w="1080" w:type="dxa"/>
            <w:tcBorders>
              <w:top w:val="nil"/>
              <w:left w:val="nil"/>
              <w:bottom w:val="nil"/>
              <w:right w:val="nil"/>
            </w:tcBorders>
            <w:shd w:val="clear" w:color="auto" w:fill="auto"/>
            <w:noWrap/>
            <w:vAlign w:val="bottom"/>
          </w:tcPr>
          <w:p w14:paraId="12D6C512">
            <w:pPr>
              <w:widowControl/>
              <w:jc w:val="center"/>
              <w:rPr>
                <w:color w:val="000000"/>
                <w:kern w:val="0"/>
                <w:szCs w:val="21"/>
              </w:rPr>
            </w:pPr>
            <w:r>
              <w:rPr>
                <w:color w:val="000000"/>
                <w:kern w:val="0"/>
                <w:szCs w:val="21"/>
              </w:rPr>
              <w:t>3.33</w:t>
            </w:r>
          </w:p>
        </w:tc>
      </w:tr>
      <w:tr w14:paraId="6E48AD72">
        <w:tblPrEx>
          <w:tblCellMar>
            <w:top w:w="0" w:type="dxa"/>
            <w:left w:w="108" w:type="dxa"/>
            <w:bottom w:w="0" w:type="dxa"/>
            <w:right w:w="108" w:type="dxa"/>
          </w:tblCellMar>
        </w:tblPrEx>
        <w:trPr>
          <w:trHeight w:val="270" w:hRule="atLeast"/>
          <w:jc w:val="center"/>
        </w:trPr>
        <w:tc>
          <w:tcPr>
            <w:tcW w:w="1080" w:type="dxa"/>
            <w:vMerge w:val="continue"/>
            <w:tcBorders>
              <w:top w:val="single" w:color="auto" w:sz="4" w:space="0"/>
              <w:left w:val="nil"/>
              <w:right w:val="nil"/>
            </w:tcBorders>
            <w:vAlign w:val="center"/>
          </w:tcPr>
          <w:p w14:paraId="7D208668">
            <w:pPr>
              <w:widowControl/>
              <w:jc w:val="left"/>
              <w:rPr>
                <w:color w:val="000000"/>
                <w:kern w:val="0"/>
                <w:szCs w:val="21"/>
              </w:rPr>
            </w:pPr>
          </w:p>
        </w:tc>
        <w:tc>
          <w:tcPr>
            <w:tcW w:w="1080" w:type="dxa"/>
            <w:vMerge w:val="continue"/>
            <w:tcBorders>
              <w:top w:val="single" w:color="auto" w:sz="8" w:space="0"/>
              <w:left w:val="nil"/>
              <w:bottom w:val="single" w:color="000000" w:sz="4" w:space="0"/>
              <w:right w:val="nil"/>
            </w:tcBorders>
            <w:vAlign w:val="center"/>
          </w:tcPr>
          <w:p w14:paraId="44C89E0C">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49D2A574">
            <w:pPr>
              <w:widowControl/>
              <w:jc w:val="center"/>
              <w:rPr>
                <w:color w:val="000000"/>
                <w:kern w:val="0"/>
                <w:szCs w:val="21"/>
              </w:rPr>
            </w:pPr>
            <w:r>
              <w:rPr>
                <w:rFonts w:hAnsi="宋体"/>
                <w:color w:val="000000"/>
                <w:kern w:val="0"/>
                <w:szCs w:val="21"/>
              </w:rPr>
              <w:t>花都</w:t>
            </w:r>
          </w:p>
        </w:tc>
        <w:tc>
          <w:tcPr>
            <w:tcW w:w="1080" w:type="dxa"/>
            <w:tcBorders>
              <w:top w:val="nil"/>
              <w:left w:val="nil"/>
              <w:bottom w:val="nil"/>
              <w:right w:val="nil"/>
            </w:tcBorders>
            <w:shd w:val="clear" w:color="auto" w:fill="auto"/>
            <w:noWrap/>
            <w:vAlign w:val="bottom"/>
          </w:tcPr>
          <w:p w14:paraId="61324510">
            <w:pPr>
              <w:widowControl/>
              <w:jc w:val="center"/>
              <w:rPr>
                <w:color w:val="000000"/>
                <w:kern w:val="0"/>
                <w:szCs w:val="21"/>
              </w:rPr>
            </w:pPr>
            <w:r>
              <w:rPr>
                <w:color w:val="000000"/>
                <w:kern w:val="0"/>
                <w:szCs w:val="21"/>
              </w:rPr>
              <w:t>60</w:t>
            </w:r>
          </w:p>
        </w:tc>
        <w:tc>
          <w:tcPr>
            <w:tcW w:w="1080" w:type="dxa"/>
            <w:tcBorders>
              <w:top w:val="nil"/>
              <w:left w:val="nil"/>
              <w:bottom w:val="nil"/>
              <w:right w:val="nil"/>
            </w:tcBorders>
            <w:shd w:val="clear" w:color="auto" w:fill="auto"/>
            <w:noWrap/>
            <w:vAlign w:val="bottom"/>
          </w:tcPr>
          <w:p w14:paraId="06E32709">
            <w:pPr>
              <w:widowControl/>
              <w:jc w:val="center"/>
              <w:rPr>
                <w:color w:val="000000"/>
                <w:kern w:val="0"/>
                <w:szCs w:val="21"/>
              </w:rPr>
            </w:pPr>
            <w:r>
              <w:rPr>
                <w:color w:val="000000"/>
                <w:kern w:val="0"/>
                <w:szCs w:val="21"/>
              </w:rPr>
              <w:t>4</w:t>
            </w:r>
          </w:p>
        </w:tc>
        <w:tc>
          <w:tcPr>
            <w:tcW w:w="1080" w:type="dxa"/>
            <w:tcBorders>
              <w:top w:val="nil"/>
              <w:left w:val="nil"/>
              <w:bottom w:val="nil"/>
              <w:right w:val="nil"/>
            </w:tcBorders>
            <w:shd w:val="clear" w:color="auto" w:fill="auto"/>
            <w:noWrap/>
            <w:vAlign w:val="bottom"/>
          </w:tcPr>
          <w:p w14:paraId="6587F456">
            <w:pPr>
              <w:widowControl/>
              <w:jc w:val="center"/>
              <w:rPr>
                <w:color w:val="000000"/>
                <w:kern w:val="0"/>
                <w:szCs w:val="21"/>
              </w:rPr>
            </w:pPr>
            <w:r>
              <w:rPr>
                <w:color w:val="000000"/>
                <w:kern w:val="0"/>
                <w:szCs w:val="21"/>
              </w:rPr>
              <w:t>6.67</w:t>
            </w:r>
          </w:p>
        </w:tc>
      </w:tr>
      <w:tr w14:paraId="58BEF6E8">
        <w:tblPrEx>
          <w:tblCellMar>
            <w:top w:w="0" w:type="dxa"/>
            <w:left w:w="108" w:type="dxa"/>
            <w:bottom w:w="0" w:type="dxa"/>
            <w:right w:w="108" w:type="dxa"/>
          </w:tblCellMar>
        </w:tblPrEx>
        <w:trPr>
          <w:trHeight w:val="270" w:hRule="atLeast"/>
          <w:jc w:val="center"/>
        </w:trPr>
        <w:tc>
          <w:tcPr>
            <w:tcW w:w="1080" w:type="dxa"/>
            <w:vMerge w:val="continue"/>
            <w:tcBorders>
              <w:top w:val="single" w:color="auto" w:sz="4" w:space="0"/>
              <w:left w:val="nil"/>
              <w:right w:val="nil"/>
            </w:tcBorders>
            <w:vAlign w:val="center"/>
          </w:tcPr>
          <w:p w14:paraId="65AB1BC8">
            <w:pPr>
              <w:widowControl/>
              <w:jc w:val="left"/>
              <w:rPr>
                <w:color w:val="000000"/>
                <w:kern w:val="0"/>
                <w:szCs w:val="21"/>
              </w:rPr>
            </w:pPr>
          </w:p>
        </w:tc>
        <w:tc>
          <w:tcPr>
            <w:tcW w:w="1080" w:type="dxa"/>
            <w:vMerge w:val="continue"/>
            <w:tcBorders>
              <w:top w:val="single" w:color="auto" w:sz="8" w:space="0"/>
              <w:left w:val="nil"/>
              <w:bottom w:val="single" w:color="000000" w:sz="4" w:space="0"/>
              <w:right w:val="nil"/>
            </w:tcBorders>
            <w:vAlign w:val="center"/>
          </w:tcPr>
          <w:p w14:paraId="61F3C74E">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67CE0FA7">
            <w:pPr>
              <w:widowControl/>
              <w:jc w:val="center"/>
              <w:rPr>
                <w:color w:val="000000"/>
                <w:kern w:val="0"/>
                <w:szCs w:val="21"/>
              </w:rPr>
            </w:pPr>
            <w:r>
              <w:rPr>
                <w:rFonts w:hAnsi="宋体"/>
                <w:color w:val="000000"/>
                <w:kern w:val="0"/>
                <w:szCs w:val="21"/>
              </w:rPr>
              <w:t>小计</w:t>
            </w:r>
          </w:p>
        </w:tc>
        <w:tc>
          <w:tcPr>
            <w:tcW w:w="1080" w:type="dxa"/>
            <w:tcBorders>
              <w:top w:val="nil"/>
              <w:left w:val="nil"/>
              <w:bottom w:val="nil"/>
              <w:right w:val="nil"/>
            </w:tcBorders>
            <w:shd w:val="clear" w:color="auto" w:fill="auto"/>
            <w:noWrap/>
            <w:vAlign w:val="bottom"/>
          </w:tcPr>
          <w:p w14:paraId="798F3CFD">
            <w:pPr>
              <w:widowControl/>
              <w:jc w:val="center"/>
              <w:rPr>
                <w:color w:val="000000"/>
                <w:kern w:val="0"/>
                <w:szCs w:val="21"/>
              </w:rPr>
            </w:pPr>
            <w:r>
              <w:rPr>
                <w:color w:val="000000"/>
                <w:kern w:val="0"/>
                <w:szCs w:val="21"/>
              </w:rPr>
              <w:t>120</w:t>
            </w:r>
          </w:p>
        </w:tc>
        <w:tc>
          <w:tcPr>
            <w:tcW w:w="1080" w:type="dxa"/>
            <w:tcBorders>
              <w:top w:val="nil"/>
              <w:left w:val="nil"/>
              <w:bottom w:val="nil"/>
              <w:right w:val="nil"/>
            </w:tcBorders>
            <w:shd w:val="clear" w:color="auto" w:fill="auto"/>
            <w:noWrap/>
            <w:vAlign w:val="bottom"/>
          </w:tcPr>
          <w:p w14:paraId="770F238E">
            <w:pPr>
              <w:widowControl/>
              <w:jc w:val="center"/>
              <w:rPr>
                <w:color w:val="000000"/>
                <w:kern w:val="0"/>
                <w:szCs w:val="21"/>
              </w:rPr>
            </w:pPr>
            <w:r>
              <w:rPr>
                <w:color w:val="000000"/>
                <w:kern w:val="0"/>
                <w:szCs w:val="21"/>
              </w:rPr>
              <w:t>6</w:t>
            </w:r>
          </w:p>
        </w:tc>
        <w:tc>
          <w:tcPr>
            <w:tcW w:w="1080" w:type="dxa"/>
            <w:tcBorders>
              <w:top w:val="nil"/>
              <w:left w:val="nil"/>
              <w:bottom w:val="nil"/>
              <w:right w:val="nil"/>
            </w:tcBorders>
            <w:shd w:val="clear" w:color="auto" w:fill="auto"/>
            <w:noWrap/>
            <w:vAlign w:val="bottom"/>
          </w:tcPr>
          <w:p w14:paraId="09D9EE3C">
            <w:pPr>
              <w:widowControl/>
              <w:jc w:val="center"/>
              <w:rPr>
                <w:color w:val="000000"/>
                <w:kern w:val="0"/>
                <w:szCs w:val="21"/>
              </w:rPr>
            </w:pPr>
            <w:r>
              <w:rPr>
                <w:color w:val="000000"/>
                <w:kern w:val="0"/>
                <w:szCs w:val="21"/>
              </w:rPr>
              <w:t xml:space="preserve">5.00 </w:t>
            </w:r>
          </w:p>
        </w:tc>
      </w:tr>
      <w:tr w14:paraId="238AE2C5">
        <w:tblPrEx>
          <w:tblCellMar>
            <w:top w:w="0" w:type="dxa"/>
            <w:left w:w="108" w:type="dxa"/>
            <w:bottom w:w="0" w:type="dxa"/>
            <w:right w:w="108" w:type="dxa"/>
          </w:tblCellMar>
        </w:tblPrEx>
        <w:trPr>
          <w:trHeight w:val="270" w:hRule="atLeast"/>
          <w:jc w:val="center"/>
        </w:trPr>
        <w:tc>
          <w:tcPr>
            <w:tcW w:w="1080" w:type="dxa"/>
            <w:vMerge w:val="continue"/>
            <w:tcBorders>
              <w:top w:val="single" w:color="auto" w:sz="4" w:space="0"/>
              <w:left w:val="nil"/>
              <w:right w:val="nil"/>
            </w:tcBorders>
            <w:vAlign w:val="center"/>
          </w:tcPr>
          <w:p w14:paraId="3C8D2E80">
            <w:pPr>
              <w:widowControl/>
              <w:jc w:val="left"/>
              <w:rPr>
                <w:color w:val="000000"/>
                <w:kern w:val="0"/>
                <w:szCs w:val="21"/>
              </w:rPr>
            </w:pPr>
          </w:p>
        </w:tc>
        <w:tc>
          <w:tcPr>
            <w:tcW w:w="1080" w:type="dxa"/>
            <w:vMerge w:val="restart"/>
            <w:tcBorders>
              <w:top w:val="nil"/>
              <w:left w:val="nil"/>
              <w:bottom w:val="single" w:color="000000" w:sz="4" w:space="0"/>
              <w:right w:val="nil"/>
            </w:tcBorders>
            <w:shd w:val="clear" w:color="auto" w:fill="auto"/>
            <w:vAlign w:val="center"/>
          </w:tcPr>
          <w:p w14:paraId="501084C2">
            <w:pPr>
              <w:widowControl/>
              <w:jc w:val="center"/>
              <w:rPr>
                <w:color w:val="000000"/>
                <w:kern w:val="0"/>
                <w:szCs w:val="21"/>
              </w:rPr>
            </w:pPr>
            <w:r>
              <w:rPr>
                <w:color w:val="000000"/>
                <w:kern w:val="0"/>
                <w:szCs w:val="21"/>
              </w:rPr>
              <w:t>2017年7月</w:t>
            </w:r>
          </w:p>
        </w:tc>
        <w:tc>
          <w:tcPr>
            <w:tcW w:w="1080" w:type="dxa"/>
            <w:tcBorders>
              <w:top w:val="single" w:color="auto" w:sz="4" w:space="0"/>
              <w:left w:val="nil"/>
              <w:bottom w:val="nil"/>
              <w:right w:val="nil"/>
            </w:tcBorders>
            <w:shd w:val="clear" w:color="auto" w:fill="auto"/>
            <w:vAlign w:val="center"/>
          </w:tcPr>
          <w:p w14:paraId="5CA4F952">
            <w:pPr>
              <w:widowControl/>
              <w:jc w:val="center"/>
              <w:rPr>
                <w:color w:val="000000"/>
                <w:kern w:val="0"/>
                <w:szCs w:val="21"/>
              </w:rPr>
            </w:pPr>
            <w:r>
              <w:rPr>
                <w:rFonts w:hAnsi="宋体"/>
                <w:color w:val="000000"/>
                <w:kern w:val="0"/>
                <w:szCs w:val="21"/>
              </w:rPr>
              <w:t>嘉禾</w:t>
            </w:r>
          </w:p>
        </w:tc>
        <w:tc>
          <w:tcPr>
            <w:tcW w:w="1080" w:type="dxa"/>
            <w:tcBorders>
              <w:top w:val="single" w:color="auto" w:sz="4" w:space="0"/>
              <w:left w:val="nil"/>
              <w:bottom w:val="nil"/>
              <w:right w:val="nil"/>
            </w:tcBorders>
            <w:shd w:val="clear" w:color="auto" w:fill="auto"/>
            <w:noWrap/>
            <w:vAlign w:val="bottom"/>
          </w:tcPr>
          <w:p w14:paraId="25B1E5B0">
            <w:pPr>
              <w:widowControl/>
              <w:jc w:val="center"/>
              <w:rPr>
                <w:color w:val="000000"/>
                <w:kern w:val="0"/>
                <w:szCs w:val="21"/>
              </w:rPr>
            </w:pPr>
            <w:r>
              <w:rPr>
                <w:color w:val="000000"/>
                <w:kern w:val="0"/>
                <w:szCs w:val="21"/>
              </w:rPr>
              <w:t>30</w:t>
            </w:r>
          </w:p>
        </w:tc>
        <w:tc>
          <w:tcPr>
            <w:tcW w:w="1080" w:type="dxa"/>
            <w:tcBorders>
              <w:top w:val="single" w:color="auto" w:sz="4" w:space="0"/>
              <w:left w:val="nil"/>
              <w:bottom w:val="nil"/>
              <w:right w:val="nil"/>
            </w:tcBorders>
            <w:shd w:val="clear" w:color="auto" w:fill="auto"/>
            <w:noWrap/>
            <w:vAlign w:val="bottom"/>
          </w:tcPr>
          <w:p w14:paraId="0BDE97A4">
            <w:pPr>
              <w:widowControl/>
              <w:jc w:val="center"/>
              <w:rPr>
                <w:color w:val="000000"/>
                <w:kern w:val="0"/>
                <w:szCs w:val="21"/>
              </w:rPr>
            </w:pPr>
            <w:r>
              <w:rPr>
                <w:color w:val="000000"/>
                <w:kern w:val="0"/>
                <w:szCs w:val="21"/>
              </w:rPr>
              <w:t>0</w:t>
            </w:r>
          </w:p>
        </w:tc>
        <w:tc>
          <w:tcPr>
            <w:tcW w:w="1080" w:type="dxa"/>
            <w:tcBorders>
              <w:top w:val="single" w:color="auto" w:sz="4" w:space="0"/>
              <w:left w:val="nil"/>
              <w:bottom w:val="nil"/>
              <w:right w:val="nil"/>
            </w:tcBorders>
            <w:shd w:val="clear" w:color="auto" w:fill="auto"/>
            <w:noWrap/>
            <w:vAlign w:val="bottom"/>
          </w:tcPr>
          <w:p w14:paraId="0C6AF310">
            <w:pPr>
              <w:widowControl/>
              <w:jc w:val="center"/>
              <w:rPr>
                <w:color w:val="000000"/>
                <w:kern w:val="0"/>
                <w:szCs w:val="21"/>
              </w:rPr>
            </w:pPr>
            <w:r>
              <w:rPr>
                <w:color w:val="000000"/>
                <w:kern w:val="0"/>
                <w:szCs w:val="21"/>
              </w:rPr>
              <w:t xml:space="preserve">0.00 </w:t>
            </w:r>
          </w:p>
        </w:tc>
      </w:tr>
      <w:tr w14:paraId="53CCA11E">
        <w:tblPrEx>
          <w:tblCellMar>
            <w:top w:w="0" w:type="dxa"/>
            <w:left w:w="108" w:type="dxa"/>
            <w:bottom w:w="0" w:type="dxa"/>
            <w:right w:w="108" w:type="dxa"/>
          </w:tblCellMar>
        </w:tblPrEx>
        <w:trPr>
          <w:trHeight w:val="270" w:hRule="atLeast"/>
          <w:jc w:val="center"/>
        </w:trPr>
        <w:tc>
          <w:tcPr>
            <w:tcW w:w="1080" w:type="dxa"/>
            <w:vMerge w:val="continue"/>
            <w:tcBorders>
              <w:top w:val="single" w:color="auto" w:sz="4" w:space="0"/>
              <w:left w:val="nil"/>
              <w:right w:val="nil"/>
            </w:tcBorders>
            <w:vAlign w:val="center"/>
          </w:tcPr>
          <w:p w14:paraId="57B8BDBE">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3348AB6A">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284354AD">
            <w:pPr>
              <w:widowControl/>
              <w:jc w:val="center"/>
              <w:rPr>
                <w:color w:val="000000"/>
                <w:kern w:val="0"/>
                <w:szCs w:val="21"/>
              </w:rPr>
            </w:pPr>
            <w:r>
              <w:rPr>
                <w:rFonts w:hAnsi="宋体"/>
                <w:color w:val="000000"/>
                <w:kern w:val="0"/>
                <w:szCs w:val="21"/>
              </w:rPr>
              <w:t>天河</w:t>
            </w:r>
          </w:p>
        </w:tc>
        <w:tc>
          <w:tcPr>
            <w:tcW w:w="1080" w:type="dxa"/>
            <w:tcBorders>
              <w:top w:val="nil"/>
              <w:left w:val="nil"/>
              <w:bottom w:val="nil"/>
              <w:right w:val="nil"/>
            </w:tcBorders>
            <w:shd w:val="clear" w:color="auto" w:fill="auto"/>
            <w:noWrap/>
            <w:vAlign w:val="bottom"/>
          </w:tcPr>
          <w:p w14:paraId="708F4F20">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09171BFA">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1F4A1042">
            <w:pPr>
              <w:widowControl/>
              <w:jc w:val="center"/>
              <w:rPr>
                <w:color w:val="000000"/>
                <w:kern w:val="0"/>
                <w:szCs w:val="21"/>
              </w:rPr>
            </w:pPr>
            <w:r>
              <w:rPr>
                <w:color w:val="000000"/>
                <w:kern w:val="0"/>
                <w:szCs w:val="21"/>
              </w:rPr>
              <w:t xml:space="preserve">0.00 </w:t>
            </w:r>
          </w:p>
        </w:tc>
      </w:tr>
      <w:tr w14:paraId="2E369D71">
        <w:tblPrEx>
          <w:tblCellMar>
            <w:top w:w="0" w:type="dxa"/>
            <w:left w:w="108" w:type="dxa"/>
            <w:bottom w:w="0" w:type="dxa"/>
            <w:right w:w="108" w:type="dxa"/>
          </w:tblCellMar>
        </w:tblPrEx>
        <w:trPr>
          <w:trHeight w:val="270" w:hRule="atLeast"/>
          <w:jc w:val="center"/>
        </w:trPr>
        <w:tc>
          <w:tcPr>
            <w:tcW w:w="1080" w:type="dxa"/>
            <w:vMerge w:val="continue"/>
            <w:tcBorders>
              <w:top w:val="single" w:color="auto" w:sz="4" w:space="0"/>
              <w:left w:val="nil"/>
              <w:right w:val="nil"/>
            </w:tcBorders>
            <w:vAlign w:val="center"/>
          </w:tcPr>
          <w:p w14:paraId="1C8244E6">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56FBC4B8">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7051AE00">
            <w:pPr>
              <w:widowControl/>
              <w:jc w:val="center"/>
              <w:rPr>
                <w:color w:val="000000"/>
                <w:kern w:val="0"/>
                <w:szCs w:val="21"/>
              </w:rPr>
            </w:pPr>
            <w:r>
              <w:rPr>
                <w:rFonts w:hAnsi="宋体"/>
                <w:color w:val="000000"/>
                <w:kern w:val="0"/>
                <w:szCs w:val="21"/>
              </w:rPr>
              <w:t>花都宝源</w:t>
            </w:r>
          </w:p>
        </w:tc>
        <w:tc>
          <w:tcPr>
            <w:tcW w:w="1080" w:type="dxa"/>
            <w:tcBorders>
              <w:top w:val="nil"/>
              <w:left w:val="nil"/>
              <w:bottom w:val="nil"/>
              <w:right w:val="nil"/>
            </w:tcBorders>
            <w:shd w:val="clear" w:color="auto" w:fill="auto"/>
            <w:noWrap/>
            <w:vAlign w:val="bottom"/>
          </w:tcPr>
          <w:p w14:paraId="4B9D6A88">
            <w:pPr>
              <w:widowControl/>
              <w:jc w:val="center"/>
              <w:rPr>
                <w:color w:val="000000"/>
                <w:kern w:val="0"/>
                <w:szCs w:val="21"/>
              </w:rPr>
            </w:pPr>
            <w:r>
              <w:rPr>
                <w:color w:val="000000"/>
                <w:kern w:val="0"/>
                <w:szCs w:val="21"/>
              </w:rPr>
              <w:t>28</w:t>
            </w:r>
          </w:p>
        </w:tc>
        <w:tc>
          <w:tcPr>
            <w:tcW w:w="1080" w:type="dxa"/>
            <w:tcBorders>
              <w:top w:val="nil"/>
              <w:left w:val="nil"/>
              <w:bottom w:val="nil"/>
              <w:right w:val="nil"/>
            </w:tcBorders>
            <w:shd w:val="clear" w:color="auto" w:fill="auto"/>
            <w:noWrap/>
            <w:vAlign w:val="bottom"/>
          </w:tcPr>
          <w:p w14:paraId="7896077F">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7FE91D48">
            <w:pPr>
              <w:widowControl/>
              <w:jc w:val="center"/>
              <w:rPr>
                <w:color w:val="000000"/>
                <w:kern w:val="0"/>
                <w:szCs w:val="21"/>
              </w:rPr>
            </w:pPr>
            <w:r>
              <w:rPr>
                <w:color w:val="000000"/>
                <w:kern w:val="0"/>
                <w:szCs w:val="21"/>
              </w:rPr>
              <w:t xml:space="preserve">0.00 </w:t>
            </w:r>
          </w:p>
        </w:tc>
      </w:tr>
      <w:tr w14:paraId="71381848">
        <w:tblPrEx>
          <w:tblCellMar>
            <w:top w:w="0" w:type="dxa"/>
            <w:left w:w="108" w:type="dxa"/>
            <w:bottom w:w="0" w:type="dxa"/>
            <w:right w:w="108" w:type="dxa"/>
          </w:tblCellMar>
        </w:tblPrEx>
        <w:trPr>
          <w:trHeight w:val="270" w:hRule="atLeast"/>
          <w:jc w:val="center"/>
        </w:trPr>
        <w:tc>
          <w:tcPr>
            <w:tcW w:w="1080" w:type="dxa"/>
            <w:vMerge w:val="continue"/>
            <w:tcBorders>
              <w:top w:val="single" w:color="auto" w:sz="4" w:space="0"/>
              <w:left w:val="nil"/>
              <w:right w:val="nil"/>
            </w:tcBorders>
            <w:vAlign w:val="center"/>
          </w:tcPr>
          <w:p w14:paraId="3BDA3951">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24959E0A">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1850B532">
            <w:pPr>
              <w:widowControl/>
              <w:jc w:val="center"/>
              <w:rPr>
                <w:color w:val="000000"/>
                <w:kern w:val="0"/>
                <w:szCs w:val="21"/>
              </w:rPr>
            </w:pPr>
            <w:r>
              <w:rPr>
                <w:rFonts w:hAnsi="宋体"/>
                <w:color w:val="000000"/>
                <w:kern w:val="0"/>
                <w:szCs w:val="21"/>
              </w:rPr>
              <w:t>茅山</w:t>
            </w:r>
          </w:p>
        </w:tc>
        <w:tc>
          <w:tcPr>
            <w:tcW w:w="1080" w:type="dxa"/>
            <w:tcBorders>
              <w:top w:val="nil"/>
              <w:left w:val="nil"/>
              <w:bottom w:val="nil"/>
              <w:right w:val="nil"/>
            </w:tcBorders>
            <w:shd w:val="clear" w:color="auto" w:fill="auto"/>
            <w:noWrap/>
            <w:vAlign w:val="bottom"/>
          </w:tcPr>
          <w:p w14:paraId="284FBD6B">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20BF5C10">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6B291C3F">
            <w:pPr>
              <w:widowControl/>
              <w:jc w:val="center"/>
              <w:rPr>
                <w:color w:val="000000"/>
                <w:kern w:val="0"/>
                <w:szCs w:val="21"/>
              </w:rPr>
            </w:pPr>
            <w:r>
              <w:rPr>
                <w:color w:val="000000"/>
                <w:kern w:val="0"/>
                <w:szCs w:val="21"/>
              </w:rPr>
              <w:t xml:space="preserve">0.00 </w:t>
            </w:r>
          </w:p>
        </w:tc>
      </w:tr>
      <w:tr w14:paraId="26CE6EB6">
        <w:tblPrEx>
          <w:tblCellMar>
            <w:top w:w="0" w:type="dxa"/>
            <w:left w:w="108" w:type="dxa"/>
            <w:bottom w:w="0" w:type="dxa"/>
            <w:right w:w="108" w:type="dxa"/>
          </w:tblCellMar>
        </w:tblPrEx>
        <w:trPr>
          <w:trHeight w:val="270" w:hRule="atLeast"/>
          <w:jc w:val="center"/>
        </w:trPr>
        <w:tc>
          <w:tcPr>
            <w:tcW w:w="1080" w:type="dxa"/>
            <w:vMerge w:val="continue"/>
            <w:tcBorders>
              <w:top w:val="single" w:color="auto" w:sz="4" w:space="0"/>
              <w:left w:val="nil"/>
              <w:right w:val="nil"/>
            </w:tcBorders>
            <w:vAlign w:val="center"/>
          </w:tcPr>
          <w:p w14:paraId="5AD4B4A6">
            <w:pPr>
              <w:widowControl/>
              <w:jc w:val="left"/>
              <w:rPr>
                <w:color w:val="000000"/>
                <w:kern w:val="0"/>
                <w:szCs w:val="21"/>
              </w:rPr>
            </w:pPr>
          </w:p>
        </w:tc>
        <w:tc>
          <w:tcPr>
            <w:tcW w:w="1080" w:type="dxa"/>
            <w:vMerge w:val="continue"/>
            <w:tcBorders>
              <w:top w:val="nil"/>
              <w:left w:val="nil"/>
              <w:bottom w:val="single" w:color="000000" w:sz="4" w:space="0"/>
              <w:right w:val="nil"/>
            </w:tcBorders>
            <w:vAlign w:val="center"/>
          </w:tcPr>
          <w:p w14:paraId="0E55B47A">
            <w:pPr>
              <w:widowControl/>
              <w:jc w:val="left"/>
              <w:rPr>
                <w:color w:val="000000"/>
                <w:kern w:val="0"/>
                <w:szCs w:val="21"/>
              </w:rPr>
            </w:pPr>
          </w:p>
        </w:tc>
        <w:tc>
          <w:tcPr>
            <w:tcW w:w="1080" w:type="dxa"/>
            <w:tcBorders>
              <w:top w:val="nil"/>
              <w:left w:val="nil"/>
              <w:bottom w:val="single" w:color="auto" w:sz="4" w:space="0"/>
              <w:right w:val="nil"/>
            </w:tcBorders>
            <w:shd w:val="clear" w:color="auto" w:fill="auto"/>
            <w:vAlign w:val="center"/>
          </w:tcPr>
          <w:p w14:paraId="1355C1B0">
            <w:pPr>
              <w:widowControl/>
              <w:jc w:val="center"/>
              <w:rPr>
                <w:b/>
                <w:bCs/>
                <w:color w:val="000000"/>
                <w:kern w:val="0"/>
                <w:szCs w:val="21"/>
              </w:rPr>
            </w:pPr>
            <w:r>
              <w:rPr>
                <w:rFonts w:hAnsi="宋体"/>
                <w:b/>
                <w:bCs/>
                <w:color w:val="000000"/>
                <w:kern w:val="0"/>
                <w:szCs w:val="21"/>
              </w:rPr>
              <w:t>小计</w:t>
            </w:r>
          </w:p>
        </w:tc>
        <w:tc>
          <w:tcPr>
            <w:tcW w:w="1080" w:type="dxa"/>
            <w:tcBorders>
              <w:top w:val="nil"/>
              <w:left w:val="nil"/>
              <w:bottom w:val="single" w:color="auto" w:sz="4" w:space="0"/>
              <w:right w:val="nil"/>
            </w:tcBorders>
            <w:shd w:val="clear" w:color="auto" w:fill="auto"/>
            <w:noWrap/>
            <w:vAlign w:val="bottom"/>
          </w:tcPr>
          <w:p w14:paraId="473A161F">
            <w:pPr>
              <w:widowControl/>
              <w:jc w:val="center"/>
              <w:rPr>
                <w:color w:val="000000"/>
                <w:kern w:val="0"/>
                <w:szCs w:val="21"/>
              </w:rPr>
            </w:pPr>
            <w:r>
              <w:rPr>
                <w:color w:val="000000"/>
                <w:kern w:val="0"/>
                <w:szCs w:val="21"/>
              </w:rPr>
              <w:t>118</w:t>
            </w:r>
          </w:p>
        </w:tc>
        <w:tc>
          <w:tcPr>
            <w:tcW w:w="1080" w:type="dxa"/>
            <w:tcBorders>
              <w:top w:val="nil"/>
              <w:left w:val="nil"/>
              <w:bottom w:val="single" w:color="auto" w:sz="4" w:space="0"/>
              <w:right w:val="nil"/>
            </w:tcBorders>
            <w:shd w:val="clear" w:color="auto" w:fill="auto"/>
            <w:noWrap/>
            <w:vAlign w:val="bottom"/>
          </w:tcPr>
          <w:p w14:paraId="588245C0">
            <w:pPr>
              <w:widowControl/>
              <w:jc w:val="center"/>
              <w:rPr>
                <w:color w:val="000000"/>
                <w:kern w:val="0"/>
                <w:szCs w:val="21"/>
              </w:rPr>
            </w:pPr>
            <w:r>
              <w:rPr>
                <w:color w:val="000000"/>
                <w:kern w:val="0"/>
                <w:szCs w:val="21"/>
              </w:rPr>
              <w:t>0</w:t>
            </w:r>
          </w:p>
        </w:tc>
        <w:tc>
          <w:tcPr>
            <w:tcW w:w="1080" w:type="dxa"/>
            <w:tcBorders>
              <w:top w:val="nil"/>
              <w:left w:val="nil"/>
              <w:bottom w:val="single" w:color="auto" w:sz="4" w:space="0"/>
              <w:right w:val="nil"/>
            </w:tcBorders>
            <w:shd w:val="clear" w:color="auto" w:fill="auto"/>
            <w:noWrap/>
            <w:vAlign w:val="bottom"/>
          </w:tcPr>
          <w:p w14:paraId="4D638843">
            <w:pPr>
              <w:widowControl/>
              <w:jc w:val="center"/>
              <w:rPr>
                <w:color w:val="000000"/>
                <w:kern w:val="0"/>
                <w:szCs w:val="21"/>
              </w:rPr>
            </w:pPr>
            <w:r>
              <w:rPr>
                <w:color w:val="000000"/>
                <w:kern w:val="0"/>
                <w:szCs w:val="21"/>
              </w:rPr>
              <w:t xml:space="preserve">0.00 </w:t>
            </w:r>
          </w:p>
        </w:tc>
      </w:tr>
      <w:tr w14:paraId="0D495D12">
        <w:tblPrEx>
          <w:tblCellMar>
            <w:top w:w="0" w:type="dxa"/>
            <w:left w:w="108" w:type="dxa"/>
            <w:bottom w:w="0" w:type="dxa"/>
            <w:right w:w="108" w:type="dxa"/>
          </w:tblCellMar>
        </w:tblPrEx>
        <w:trPr>
          <w:trHeight w:val="270" w:hRule="atLeast"/>
          <w:jc w:val="center"/>
        </w:trPr>
        <w:tc>
          <w:tcPr>
            <w:tcW w:w="1080" w:type="dxa"/>
            <w:vMerge w:val="continue"/>
            <w:tcBorders>
              <w:top w:val="single" w:color="auto" w:sz="4" w:space="0"/>
              <w:left w:val="nil"/>
              <w:right w:val="nil"/>
            </w:tcBorders>
            <w:vAlign w:val="center"/>
          </w:tcPr>
          <w:p w14:paraId="6DBA0AB7">
            <w:pPr>
              <w:widowControl/>
              <w:jc w:val="left"/>
              <w:rPr>
                <w:color w:val="000000"/>
                <w:kern w:val="0"/>
                <w:szCs w:val="21"/>
              </w:rPr>
            </w:pPr>
          </w:p>
        </w:tc>
        <w:tc>
          <w:tcPr>
            <w:tcW w:w="1080" w:type="dxa"/>
            <w:vMerge w:val="restart"/>
            <w:tcBorders>
              <w:top w:val="nil"/>
              <w:left w:val="nil"/>
              <w:bottom w:val="nil"/>
              <w:right w:val="nil"/>
            </w:tcBorders>
            <w:shd w:val="clear" w:color="auto" w:fill="auto"/>
            <w:vAlign w:val="center"/>
          </w:tcPr>
          <w:p w14:paraId="3CC00E07">
            <w:pPr>
              <w:widowControl/>
              <w:jc w:val="center"/>
              <w:rPr>
                <w:color w:val="000000"/>
                <w:kern w:val="0"/>
                <w:szCs w:val="21"/>
              </w:rPr>
            </w:pPr>
            <w:r>
              <w:rPr>
                <w:color w:val="000000"/>
                <w:kern w:val="0"/>
                <w:szCs w:val="21"/>
              </w:rPr>
              <w:t>2017年10月</w:t>
            </w:r>
          </w:p>
        </w:tc>
        <w:tc>
          <w:tcPr>
            <w:tcW w:w="1080" w:type="dxa"/>
            <w:tcBorders>
              <w:top w:val="nil"/>
              <w:left w:val="nil"/>
              <w:bottom w:val="nil"/>
              <w:right w:val="nil"/>
            </w:tcBorders>
            <w:shd w:val="clear" w:color="auto" w:fill="auto"/>
            <w:vAlign w:val="center"/>
          </w:tcPr>
          <w:p w14:paraId="704C42C8">
            <w:pPr>
              <w:widowControl/>
              <w:jc w:val="center"/>
              <w:rPr>
                <w:color w:val="000000"/>
                <w:kern w:val="0"/>
                <w:szCs w:val="21"/>
              </w:rPr>
            </w:pPr>
            <w:r>
              <w:rPr>
                <w:rFonts w:hAnsi="宋体"/>
                <w:color w:val="000000"/>
                <w:kern w:val="0"/>
                <w:szCs w:val="21"/>
              </w:rPr>
              <w:t>嘉禾</w:t>
            </w:r>
          </w:p>
        </w:tc>
        <w:tc>
          <w:tcPr>
            <w:tcW w:w="1080" w:type="dxa"/>
            <w:tcBorders>
              <w:top w:val="nil"/>
              <w:left w:val="nil"/>
              <w:bottom w:val="nil"/>
              <w:right w:val="nil"/>
            </w:tcBorders>
            <w:shd w:val="clear" w:color="auto" w:fill="auto"/>
            <w:noWrap/>
            <w:vAlign w:val="bottom"/>
          </w:tcPr>
          <w:p w14:paraId="66F38FA3">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0B79FD7A">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6084E751">
            <w:pPr>
              <w:widowControl/>
              <w:jc w:val="center"/>
              <w:rPr>
                <w:color w:val="000000"/>
                <w:kern w:val="0"/>
                <w:szCs w:val="21"/>
              </w:rPr>
            </w:pPr>
            <w:r>
              <w:rPr>
                <w:color w:val="000000"/>
                <w:kern w:val="0"/>
                <w:szCs w:val="21"/>
              </w:rPr>
              <w:t xml:space="preserve">0.00 </w:t>
            </w:r>
          </w:p>
        </w:tc>
      </w:tr>
      <w:tr w14:paraId="2B184FF8">
        <w:tblPrEx>
          <w:tblCellMar>
            <w:top w:w="0" w:type="dxa"/>
            <w:left w:w="108" w:type="dxa"/>
            <w:bottom w:w="0" w:type="dxa"/>
            <w:right w:w="108" w:type="dxa"/>
          </w:tblCellMar>
        </w:tblPrEx>
        <w:trPr>
          <w:trHeight w:val="270" w:hRule="atLeast"/>
          <w:jc w:val="center"/>
        </w:trPr>
        <w:tc>
          <w:tcPr>
            <w:tcW w:w="1080" w:type="dxa"/>
            <w:vMerge w:val="continue"/>
            <w:tcBorders>
              <w:top w:val="single" w:color="auto" w:sz="4" w:space="0"/>
              <w:left w:val="nil"/>
              <w:right w:val="nil"/>
            </w:tcBorders>
            <w:vAlign w:val="center"/>
          </w:tcPr>
          <w:p w14:paraId="68BD8940">
            <w:pPr>
              <w:widowControl/>
              <w:jc w:val="left"/>
              <w:rPr>
                <w:color w:val="000000"/>
                <w:kern w:val="0"/>
                <w:szCs w:val="21"/>
              </w:rPr>
            </w:pPr>
          </w:p>
        </w:tc>
        <w:tc>
          <w:tcPr>
            <w:tcW w:w="1080" w:type="dxa"/>
            <w:vMerge w:val="continue"/>
            <w:tcBorders>
              <w:top w:val="nil"/>
              <w:left w:val="nil"/>
              <w:bottom w:val="nil"/>
              <w:right w:val="nil"/>
            </w:tcBorders>
            <w:vAlign w:val="center"/>
          </w:tcPr>
          <w:p w14:paraId="2141286D">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1FEC8FCD">
            <w:pPr>
              <w:widowControl/>
              <w:jc w:val="center"/>
              <w:rPr>
                <w:color w:val="000000"/>
                <w:kern w:val="0"/>
                <w:szCs w:val="21"/>
              </w:rPr>
            </w:pPr>
            <w:r>
              <w:rPr>
                <w:rFonts w:hAnsi="宋体"/>
                <w:color w:val="000000"/>
                <w:kern w:val="0"/>
                <w:szCs w:val="21"/>
              </w:rPr>
              <w:t>天河</w:t>
            </w:r>
          </w:p>
        </w:tc>
        <w:tc>
          <w:tcPr>
            <w:tcW w:w="1080" w:type="dxa"/>
            <w:tcBorders>
              <w:top w:val="nil"/>
              <w:left w:val="nil"/>
              <w:bottom w:val="nil"/>
              <w:right w:val="nil"/>
            </w:tcBorders>
            <w:shd w:val="clear" w:color="auto" w:fill="auto"/>
            <w:noWrap/>
            <w:vAlign w:val="bottom"/>
          </w:tcPr>
          <w:p w14:paraId="49271DD3">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74CEDCCF">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5CC9FAE9">
            <w:pPr>
              <w:widowControl/>
              <w:jc w:val="center"/>
              <w:rPr>
                <w:color w:val="000000"/>
                <w:kern w:val="0"/>
                <w:szCs w:val="21"/>
              </w:rPr>
            </w:pPr>
            <w:r>
              <w:rPr>
                <w:color w:val="000000"/>
                <w:kern w:val="0"/>
                <w:szCs w:val="21"/>
              </w:rPr>
              <w:t xml:space="preserve">0.00 </w:t>
            </w:r>
          </w:p>
        </w:tc>
      </w:tr>
      <w:tr w14:paraId="047DA9F7">
        <w:tblPrEx>
          <w:tblCellMar>
            <w:top w:w="0" w:type="dxa"/>
            <w:left w:w="108" w:type="dxa"/>
            <w:bottom w:w="0" w:type="dxa"/>
            <w:right w:w="108" w:type="dxa"/>
          </w:tblCellMar>
        </w:tblPrEx>
        <w:trPr>
          <w:trHeight w:val="270" w:hRule="atLeast"/>
          <w:jc w:val="center"/>
        </w:trPr>
        <w:tc>
          <w:tcPr>
            <w:tcW w:w="1080" w:type="dxa"/>
            <w:vMerge w:val="continue"/>
            <w:tcBorders>
              <w:top w:val="single" w:color="auto" w:sz="4" w:space="0"/>
              <w:left w:val="nil"/>
              <w:right w:val="nil"/>
            </w:tcBorders>
            <w:vAlign w:val="center"/>
          </w:tcPr>
          <w:p w14:paraId="100B4127">
            <w:pPr>
              <w:widowControl/>
              <w:jc w:val="left"/>
              <w:rPr>
                <w:color w:val="000000"/>
                <w:kern w:val="0"/>
                <w:szCs w:val="21"/>
              </w:rPr>
            </w:pPr>
          </w:p>
        </w:tc>
        <w:tc>
          <w:tcPr>
            <w:tcW w:w="1080" w:type="dxa"/>
            <w:vMerge w:val="continue"/>
            <w:tcBorders>
              <w:top w:val="nil"/>
              <w:left w:val="nil"/>
              <w:bottom w:val="nil"/>
              <w:right w:val="nil"/>
            </w:tcBorders>
            <w:vAlign w:val="center"/>
          </w:tcPr>
          <w:p w14:paraId="1620C1A9">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550A43D5">
            <w:pPr>
              <w:widowControl/>
              <w:jc w:val="center"/>
              <w:rPr>
                <w:color w:val="000000"/>
                <w:kern w:val="0"/>
                <w:szCs w:val="21"/>
              </w:rPr>
            </w:pPr>
            <w:r>
              <w:rPr>
                <w:rFonts w:hAnsi="宋体"/>
                <w:color w:val="000000"/>
                <w:kern w:val="0"/>
                <w:szCs w:val="21"/>
              </w:rPr>
              <w:t>花都宝源</w:t>
            </w:r>
          </w:p>
        </w:tc>
        <w:tc>
          <w:tcPr>
            <w:tcW w:w="1080" w:type="dxa"/>
            <w:tcBorders>
              <w:top w:val="nil"/>
              <w:left w:val="nil"/>
              <w:bottom w:val="nil"/>
              <w:right w:val="nil"/>
            </w:tcBorders>
            <w:shd w:val="clear" w:color="auto" w:fill="auto"/>
            <w:noWrap/>
            <w:vAlign w:val="bottom"/>
          </w:tcPr>
          <w:p w14:paraId="31C758DC">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0372BF4E">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06761E42">
            <w:pPr>
              <w:widowControl/>
              <w:jc w:val="center"/>
              <w:rPr>
                <w:color w:val="000000"/>
                <w:kern w:val="0"/>
                <w:szCs w:val="21"/>
              </w:rPr>
            </w:pPr>
            <w:r>
              <w:rPr>
                <w:color w:val="000000"/>
                <w:kern w:val="0"/>
                <w:szCs w:val="21"/>
              </w:rPr>
              <w:t xml:space="preserve">0.00 </w:t>
            </w:r>
          </w:p>
        </w:tc>
      </w:tr>
      <w:tr w14:paraId="665D0853">
        <w:trPr>
          <w:trHeight w:val="270" w:hRule="atLeast"/>
          <w:jc w:val="center"/>
        </w:trPr>
        <w:tc>
          <w:tcPr>
            <w:tcW w:w="1080" w:type="dxa"/>
            <w:vMerge w:val="continue"/>
            <w:tcBorders>
              <w:top w:val="single" w:color="auto" w:sz="4" w:space="0"/>
              <w:left w:val="nil"/>
              <w:right w:val="nil"/>
            </w:tcBorders>
            <w:vAlign w:val="center"/>
          </w:tcPr>
          <w:p w14:paraId="66AC881F">
            <w:pPr>
              <w:widowControl/>
              <w:jc w:val="left"/>
              <w:rPr>
                <w:color w:val="000000"/>
                <w:kern w:val="0"/>
                <w:szCs w:val="21"/>
              </w:rPr>
            </w:pPr>
          </w:p>
        </w:tc>
        <w:tc>
          <w:tcPr>
            <w:tcW w:w="1080" w:type="dxa"/>
            <w:vMerge w:val="continue"/>
            <w:tcBorders>
              <w:top w:val="nil"/>
              <w:left w:val="nil"/>
              <w:bottom w:val="nil"/>
              <w:right w:val="nil"/>
            </w:tcBorders>
            <w:vAlign w:val="center"/>
          </w:tcPr>
          <w:p w14:paraId="39D23429">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6929BA4C">
            <w:pPr>
              <w:widowControl/>
              <w:jc w:val="center"/>
              <w:rPr>
                <w:color w:val="000000"/>
                <w:kern w:val="0"/>
                <w:szCs w:val="21"/>
              </w:rPr>
            </w:pPr>
            <w:r>
              <w:rPr>
                <w:rFonts w:hAnsi="宋体"/>
                <w:color w:val="000000"/>
                <w:kern w:val="0"/>
                <w:szCs w:val="21"/>
              </w:rPr>
              <w:t>茅山</w:t>
            </w:r>
          </w:p>
        </w:tc>
        <w:tc>
          <w:tcPr>
            <w:tcW w:w="1080" w:type="dxa"/>
            <w:tcBorders>
              <w:top w:val="nil"/>
              <w:left w:val="nil"/>
              <w:bottom w:val="nil"/>
              <w:right w:val="nil"/>
            </w:tcBorders>
            <w:shd w:val="clear" w:color="auto" w:fill="auto"/>
            <w:noWrap/>
            <w:vAlign w:val="bottom"/>
          </w:tcPr>
          <w:p w14:paraId="0239D6DB">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0BED88E4">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0F2CD498">
            <w:pPr>
              <w:widowControl/>
              <w:jc w:val="center"/>
              <w:rPr>
                <w:color w:val="000000"/>
                <w:kern w:val="0"/>
                <w:szCs w:val="21"/>
              </w:rPr>
            </w:pPr>
            <w:r>
              <w:rPr>
                <w:color w:val="000000"/>
                <w:kern w:val="0"/>
                <w:szCs w:val="21"/>
              </w:rPr>
              <w:t xml:space="preserve">0.00 </w:t>
            </w:r>
          </w:p>
        </w:tc>
      </w:tr>
      <w:tr w14:paraId="52CC4722">
        <w:tblPrEx>
          <w:tblCellMar>
            <w:top w:w="0" w:type="dxa"/>
            <w:left w:w="108" w:type="dxa"/>
            <w:bottom w:w="0" w:type="dxa"/>
            <w:right w:w="108" w:type="dxa"/>
          </w:tblCellMar>
        </w:tblPrEx>
        <w:trPr>
          <w:trHeight w:val="270" w:hRule="atLeast"/>
          <w:jc w:val="center"/>
        </w:trPr>
        <w:tc>
          <w:tcPr>
            <w:tcW w:w="1080" w:type="dxa"/>
            <w:vMerge w:val="continue"/>
            <w:tcBorders>
              <w:top w:val="single" w:color="auto" w:sz="4" w:space="0"/>
              <w:left w:val="nil"/>
              <w:right w:val="nil"/>
            </w:tcBorders>
            <w:vAlign w:val="center"/>
          </w:tcPr>
          <w:p w14:paraId="404AA967">
            <w:pPr>
              <w:widowControl/>
              <w:jc w:val="left"/>
              <w:rPr>
                <w:color w:val="000000"/>
                <w:kern w:val="0"/>
                <w:szCs w:val="21"/>
              </w:rPr>
            </w:pPr>
          </w:p>
        </w:tc>
        <w:tc>
          <w:tcPr>
            <w:tcW w:w="1080" w:type="dxa"/>
            <w:vMerge w:val="continue"/>
            <w:tcBorders>
              <w:top w:val="nil"/>
              <w:left w:val="nil"/>
              <w:bottom w:val="nil"/>
              <w:right w:val="nil"/>
            </w:tcBorders>
            <w:vAlign w:val="center"/>
          </w:tcPr>
          <w:p w14:paraId="54162836">
            <w:pPr>
              <w:widowControl/>
              <w:jc w:val="left"/>
              <w:rPr>
                <w:color w:val="000000"/>
                <w:kern w:val="0"/>
                <w:szCs w:val="21"/>
              </w:rPr>
            </w:pPr>
          </w:p>
        </w:tc>
        <w:tc>
          <w:tcPr>
            <w:tcW w:w="1080" w:type="dxa"/>
            <w:tcBorders>
              <w:top w:val="nil"/>
              <w:left w:val="nil"/>
              <w:bottom w:val="single" w:color="auto" w:sz="4" w:space="0"/>
              <w:right w:val="nil"/>
            </w:tcBorders>
            <w:shd w:val="clear" w:color="auto" w:fill="auto"/>
            <w:vAlign w:val="center"/>
          </w:tcPr>
          <w:p w14:paraId="7D8BDCEE">
            <w:pPr>
              <w:widowControl/>
              <w:jc w:val="center"/>
              <w:rPr>
                <w:b/>
                <w:bCs/>
                <w:color w:val="000000"/>
                <w:kern w:val="0"/>
                <w:szCs w:val="21"/>
              </w:rPr>
            </w:pPr>
            <w:r>
              <w:rPr>
                <w:rFonts w:hAnsi="宋体"/>
                <w:b/>
                <w:bCs/>
                <w:color w:val="000000"/>
                <w:kern w:val="0"/>
                <w:szCs w:val="21"/>
              </w:rPr>
              <w:t>小计</w:t>
            </w:r>
          </w:p>
        </w:tc>
        <w:tc>
          <w:tcPr>
            <w:tcW w:w="1080" w:type="dxa"/>
            <w:tcBorders>
              <w:top w:val="nil"/>
              <w:left w:val="nil"/>
              <w:bottom w:val="single" w:color="auto" w:sz="4" w:space="0"/>
              <w:right w:val="nil"/>
            </w:tcBorders>
            <w:shd w:val="clear" w:color="auto" w:fill="auto"/>
            <w:noWrap/>
            <w:vAlign w:val="bottom"/>
          </w:tcPr>
          <w:p w14:paraId="6CB1F7A3">
            <w:pPr>
              <w:widowControl/>
              <w:jc w:val="center"/>
              <w:rPr>
                <w:color w:val="000000"/>
                <w:kern w:val="0"/>
                <w:szCs w:val="21"/>
              </w:rPr>
            </w:pPr>
            <w:r>
              <w:rPr>
                <w:color w:val="000000"/>
                <w:kern w:val="0"/>
                <w:szCs w:val="21"/>
              </w:rPr>
              <w:t>120</w:t>
            </w:r>
          </w:p>
        </w:tc>
        <w:tc>
          <w:tcPr>
            <w:tcW w:w="1080" w:type="dxa"/>
            <w:tcBorders>
              <w:top w:val="nil"/>
              <w:left w:val="nil"/>
              <w:bottom w:val="single" w:color="auto" w:sz="4" w:space="0"/>
              <w:right w:val="nil"/>
            </w:tcBorders>
            <w:shd w:val="clear" w:color="auto" w:fill="auto"/>
            <w:noWrap/>
            <w:vAlign w:val="bottom"/>
          </w:tcPr>
          <w:p w14:paraId="4553646B">
            <w:pPr>
              <w:widowControl/>
              <w:jc w:val="center"/>
              <w:rPr>
                <w:color w:val="000000"/>
                <w:kern w:val="0"/>
                <w:szCs w:val="21"/>
              </w:rPr>
            </w:pPr>
            <w:r>
              <w:rPr>
                <w:color w:val="000000"/>
                <w:kern w:val="0"/>
                <w:szCs w:val="21"/>
              </w:rPr>
              <w:t>0</w:t>
            </w:r>
          </w:p>
        </w:tc>
        <w:tc>
          <w:tcPr>
            <w:tcW w:w="1080" w:type="dxa"/>
            <w:tcBorders>
              <w:top w:val="nil"/>
              <w:left w:val="nil"/>
              <w:bottom w:val="single" w:color="auto" w:sz="4" w:space="0"/>
              <w:right w:val="nil"/>
            </w:tcBorders>
            <w:shd w:val="clear" w:color="auto" w:fill="auto"/>
            <w:noWrap/>
            <w:vAlign w:val="bottom"/>
          </w:tcPr>
          <w:p w14:paraId="26F0B335">
            <w:pPr>
              <w:widowControl/>
              <w:jc w:val="center"/>
              <w:rPr>
                <w:color w:val="000000"/>
                <w:kern w:val="0"/>
                <w:szCs w:val="21"/>
              </w:rPr>
            </w:pPr>
            <w:r>
              <w:rPr>
                <w:color w:val="000000"/>
                <w:kern w:val="0"/>
                <w:szCs w:val="21"/>
              </w:rPr>
              <w:t xml:space="preserve">0.00 </w:t>
            </w:r>
          </w:p>
        </w:tc>
      </w:tr>
      <w:tr w14:paraId="7E81BE52">
        <w:tblPrEx>
          <w:tblCellMar>
            <w:top w:w="0" w:type="dxa"/>
            <w:left w:w="108" w:type="dxa"/>
            <w:bottom w:w="0" w:type="dxa"/>
            <w:right w:w="108" w:type="dxa"/>
          </w:tblCellMar>
        </w:tblPrEx>
        <w:trPr>
          <w:trHeight w:val="270" w:hRule="atLeast"/>
          <w:jc w:val="center"/>
        </w:trPr>
        <w:tc>
          <w:tcPr>
            <w:tcW w:w="1080" w:type="dxa"/>
            <w:vMerge w:val="continue"/>
            <w:tcBorders>
              <w:top w:val="single" w:color="auto" w:sz="4" w:space="0"/>
              <w:left w:val="nil"/>
              <w:right w:val="nil"/>
            </w:tcBorders>
            <w:vAlign w:val="center"/>
          </w:tcPr>
          <w:p w14:paraId="60D3F963">
            <w:pPr>
              <w:widowControl/>
              <w:jc w:val="left"/>
              <w:rPr>
                <w:color w:val="000000"/>
                <w:kern w:val="0"/>
                <w:szCs w:val="21"/>
              </w:rPr>
            </w:pPr>
          </w:p>
        </w:tc>
        <w:tc>
          <w:tcPr>
            <w:tcW w:w="1080" w:type="dxa"/>
            <w:vMerge w:val="restart"/>
            <w:tcBorders>
              <w:top w:val="single" w:color="auto" w:sz="4" w:space="0"/>
              <w:left w:val="nil"/>
              <w:bottom w:val="single" w:color="000000" w:sz="4" w:space="0"/>
              <w:right w:val="nil"/>
            </w:tcBorders>
            <w:shd w:val="clear" w:color="auto" w:fill="auto"/>
            <w:vAlign w:val="center"/>
          </w:tcPr>
          <w:p w14:paraId="077B5AED">
            <w:pPr>
              <w:widowControl/>
              <w:jc w:val="center"/>
              <w:rPr>
                <w:color w:val="000000"/>
                <w:kern w:val="0"/>
                <w:szCs w:val="21"/>
              </w:rPr>
            </w:pPr>
            <w:r>
              <w:rPr>
                <w:color w:val="000000"/>
                <w:kern w:val="0"/>
                <w:szCs w:val="21"/>
              </w:rPr>
              <w:t>2018年7月</w:t>
            </w:r>
          </w:p>
        </w:tc>
        <w:tc>
          <w:tcPr>
            <w:tcW w:w="1080" w:type="dxa"/>
            <w:tcBorders>
              <w:top w:val="nil"/>
              <w:left w:val="nil"/>
              <w:bottom w:val="nil"/>
              <w:right w:val="nil"/>
            </w:tcBorders>
            <w:shd w:val="clear" w:color="auto" w:fill="auto"/>
            <w:vAlign w:val="center"/>
          </w:tcPr>
          <w:p w14:paraId="0202998E">
            <w:pPr>
              <w:widowControl/>
              <w:jc w:val="center"/>
              <w:rPr>
                <w:color w:val="000000"/>
                <w:kern w:val="0"/>
                <w:szCs w:val="21"/>
              </w:rPr>
            </w:pPr>
            <w:r>
              <w:rPr>
                <w:rFonts w:hAnsi="宋体"/>
                <w:color w:val="000000"/>
                <w:kern w:val="0"/>
                <w:szCs w:val="21"/>
              </w:rPr>
              <w:t>孔旺记</w:t>
            </w:r>
          </w:p>
        </w:tc>
        <w:tc>
          <w:tcPr>
            <w:tcW w:w="1080" w:type="dxa"/>
            <w:tcBorders>
              <w:top w:val="nil"/>
              <w:left w:val="nil"/>
              <w:bottom w:val="nil"/>
              <w:right w:val="nil"/>
            </w:tcBorders>
            <w:shd w:val="clear" w:color="auto" w:fill="auto"/>
            <w:noWrap/>
            <w:vAlign w:val="bottom"/>
          </w:tcPr>
          <w:p w14:paraId="454641DA">
            <w:pPr>
              <w:widowControl/>
              <w:jc w:val="center"/>
              <w:rPr>
                <w:color w:val="000000"/>
                <w:kern w:val="0"/>
                <w:szCs w:val="21"/>
              </w:rPr>
            </w:pPr>
            <w:r>
              <w:rPr>
                <w:color w:val="000000"/>
                <w:kern w:val="0"/>
                <w:szCs w:val="21"/>
              </w:rPr>
              <w:t>90</w:t>
            </w:r>
          </w:p>
        </w:tc>
        <w:tc>
          <w:tcPr>
            <w:tcW w:w="1080" w:type="dxa"/>
            <w:tcBorders>
              <w:top w:val="nil"/>
              <w:left w:val="nil"/>
              <w:bottom w:val="nil"/>
              <w:right w:val="nil"/>
            </w:tcBorders>
            <w:shd w:val="clear" w:color="auto" w:fill="auto"/>
            <w:noWrap/>
            <w:vAlign w:val="bottom"/>
          </w:tcPr>
          <w:p w14:paraId="22180905">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3524B72F">
            <w:pPr>
              <w:widowControl/>
              <w:jc w:val="center"/>
              <w:rPr>
                <w:color w:val="000000"/>
                <w:kern w:val="0"/>
                <w:szCs w:val="21"/>
              </w:rPr>
            </w:pPr>
            <w:r>
              <w:rPr>
                <w:color w:val="000000"/>
                <w:kern w:val="0"/>
                <w:szCs w:val="21"/>
              </w:rPr>
              <w:t xml:space="preserve">0.00 </w:t>
            </w:r>
          </w:p>
        </w:tc>
      </w:tr>
      <w:tr w14:paraId="16BB5DAD">
        <w:tblPrEx>
          <w:tblCellMar>
            <w:top w:w="0" w:type="dxa"/>
            <w:left w:w="108" w:type="dxa"/>
            <w:bottom w:w="0" w:type="dxa"/>
            <w:right w:w="108" w:type="dxa"/>
          </w:tblCellMar>
        </w:tblPrEx>
        <w:trPr>
          <w:trHeight w:val="270" w:hRule="atLeast"/>
          <w:jc w:val="center"/>
        </w:trPr>
        <w:tc>
          <w:tcPr>
            <w:tcW w:w="1080" w:type="dxa"/>
            <w:vMerge w:val="continue"/>
            <w:tcBorders>
              <w:top w:val="single" w:color="auto" w:sz="4" w:space="0"/>
              <w:left w:val="nil"/>
              <w:right w:val="nil"/>
            </w:tcBorders>
            <w:vAlign w:val="center"/>
          </w:tcPr>
          <w:p w14:paraId="728E9473">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23379040">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2FD16B58">
            <w:pPr>
              <w:widowControl/>
              <w:jc w:val="center"/>
              <w:rPr>
                <w:color w:val="000000"/>
                <w:kern w:val="0"/>
                <w:szCs w:val="21"/>
              </w:rPr>
            </w:pPr>
            <w:r>
              <w:rPr>
                <w:rFonts w:hAnsi="宋体"/>
                <w:color w:val="000000"/>
                <w:kern w:val="0"/>
                <w:szCs w:val="21"/>
              </w:rPr>
              <w:t>超市</w:t>
            </w:r>
          </w:p>
        </w:tc>
        <w:tc>
          <w:tcPr>
            <w:tcW w:w="1080" w:type="dxa"/>
            <w:tcBorders>
              <w:top w:val="nil"/>
              <w:left w:val="nil"/>
              <w:bottom w:val="nil"/>
              <w:right w:val="nil"/>
            </w:tcBorders>
            <w:shd w:val="clear" w:color="auto" w:fill="auto"/>
            <w:noWrap/>
            <w:vAlign w:val="bottom"/>
          </w:tcPr>
          <w:p w14:paraId="525F1144">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36531B80">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1E7F9C38">
            <w:pPr>
              <w:widowControl/>
              <w:jc w:val="center"/>
              <w:rPr>
                <w:color w:val="000000"/>
                <w:kern w:val="0"/>
                <w:szCs w:val="21"/>
              </w:rPr>
            </w:pPr>
            <w:r>
              <w:rPr>
                <w:color w:val="000000"/>
                <w:kern w:val="0"/>
                <w:szCs w:val="21"/>
              </w:rPr>
              <w:t xml:space="preserve">0.00 </w:t>
            </w:r>
          </w:p>
        </w:tc>
      </w:tr>
      <w:tr w14:paraId="529382F6">
        <w:tblPrEx>
          <w:tblCellMar>
            <w:top w:w="0" w:type="dxa"/>
            <w:left w:w="108" w:type="dxa"/>
            <w:bottom w:w="0" w:type="dxa"/>
            <w:right w:w="108" w:type="dxa"/>
          </w:tblCellMar>
        </w:tblPrEx>
        <w:trPr>
          <w:trHeight w:val="270" w:hRule="atLeast"/>
          <w:jc w:val="center"/>
        </w:trPr>
        <w:tc>
          <w:tcPr>
            <w:tcW w:w="1080" w:type="dxa"/>
            <w:vMerge w:val="continue"/>
            <w:tcBorders>
              <w:top w:val="single" w:color="auto" w:sz="4" w:space="0"/>
              <w:left w:val="nil"/>
              <w:right w:val="nil"/>
            </w:tcBorders>
            <w:vAlign w:val="center"/>
          </w:tcPr>
          <w:p w14:paraId="51DEE932">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044CCCBB">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57A8CF8E">
            <w:pPr>
              <w:widowControl/>
              <w:jc w:val="center"/>
              <w:rPr>
                <w:color w:val="000000"/>
                <w:kern w:val="0"/>
                <w:szCs w:val="21"/>
              </w:rPr>
            </w:pPr>
            <w:r>
              <w:rPr>
                <w:rFonts w:hAnsi="宋体"/>
                <w:color w:val="000000"/>
                <w:kern w:val="0"/>
                <w:szCs w:val="21"/>
              </w:rPr>
              <w:t>农贸市场</w:t>
            </w:r>
          </w:p>
        </w:tc>
        <w:tc>
          <w:tcPr>
            <w:tcW w:w="1080" w:type="dxa"/>
            <w:tcBorders>
              <w:top w:val="nil"/>
              <w:left w:val="nil"/>
              <w:bottom w:val="nil"/>
              <w:right w:val="nil"/>
            </w:tcBorders>
            <w:shd w:val="clear" w:color="auto" w:fill="auto"/>
            <w:noWrap/>
            <w:vAlign w:val="bottom"/>
          </w:tcPr>
          <w:p w14:paraId="33473A0E">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72EBBEC3">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720D0E12">
            <w:pPr>
              <w:widowControl/>
              <w:jc w:val="center"/>
              <w:rPr>
                <w:color w:val="000000"/>
                <w:kern w:val="0"/>
                <w:szCs w:val="21"/>
              </w:rPr>
            </w:pPr>
            <w:r>
              <w:rPr>
                <w:color w:val="000000"/>
                <w:kern w:val="0"/>
                <w:szCs w:val="21"/>
              </w:rPr>
              <w:t xml:space="preserve">0.00 </w:t>
            </w:r>
          </w:p>
        </w:tc>
      </w:tr>
      <w:tr w14:paraId="24E3FAF5">
        <w:tblPrEx>
          <w:tblCellMar>
            <w:top w:w="0" w:type="dxa"/>
            <w:left w:w="108" w:type="dxa"/>
            <w:bottom w:w="0" w:type="dxa"/>
            <w:right w:w="108" w:type="dxa"/>
          </w:tblCellMar>
        </w:tblPrEx>
        <w:trPr>
          <w:trHeight w:val="270" w:hRule="atLeast"/>
          <w:jc w:val="center"/>
        </w:trPr>
        <w:tc>
          <w:tcPr>
            <w:tcW w:w="1080" w:type="dxa"/>
            <w:vMerge w:val="continue"/>
            <w:tcBorders>
              <w:top w:val="single" w:color="auto" w:sz="4" w:space="0"/>
              <w:left w:val="nil"/>
              <w:right w:val="nil"/>
            </w:tcBorders>
            <w:vAlign w:val="center"/>
          </w:tcPr>
          <w:p w14:paraId="4D5EAEE7">
            <w:pPr>
              <w:widowControl/>
              <w:jc w:val="left"/>
              <w:rPr>
                <w:color w:val="000000"/>
                <w:kern w:val="0"/>
                <w:szCs w:val="21"/>
              </w:rPr>
            </w:pPr>
          </w:p>
        </w:tc>
        <w:tc>
          <w:tcPr>
            <w:tcW w:w="1080" w:type="dxa"/>
            <w:vMerge w:val="continue"/>
            <w:tcBorders>
              <w:top w:val="single" w:color="auto" w:sz="4" w:space="0"/>
              <w:left w:val="nil"/>
              <w:bottom w:val="single" w:color="000000" w:sz="4" w:space="0"/>
              <w:right w:val="nil"/>
            </w:tcBorders>
            <w:vAlign w:val="center"/>
          </w:tcPr>
          <w:p w14:paraId="31EE6A27">
            <w:pPr>
              <w:widowControl/>
              <w:jc w:val="left"/>
              <w:rPr>
                <w:color w:val="000000"/>
                <w:kern w:val="0"/>
                <w:szCs w:val="21"/>
              </w:rPr>
            </w:pPr>
          </w:p>
        </w:tc>
        <w:tc>
          <w:tcPr>
            <w:tcW w:w="1080" w:type="dxa"/>
            <w:tcBorders>
              <w:top w:val="nil"/>
              <w:left w:val="nil"/>
              <w:bottom w:val="single" w:color="auto" w:sz="4" w:space="0"/>
              <w:right w:val="nil"/>
            </w:tcBorders>
            <w:shd w:val="clear" w:color="auto" w:fill="auto"/>
            <w:vAlign w:val="center"/>
          </w:tcPr>
          <w:p w14:paraId="0238C712">
            <w:pPr>
              <w:widowControl/>
              <w:jc w:val="center"/>
              <w:rPr>
                <w:b/>
                <w:bCs/>
                <w:color w:val="000000"/>
                <w:kern w:val="0"/>
                <w:szCs w:val="21"/>
              </w:rPr>
            </w:pPr>
            <w:r>
              <w:rPr>
                <w:rFonts w:hAnsi="宋体"/>
                <w:b/>
                <w:bCs/>
                <w:color w:val="000000"/>
                <w:kern w:val="0"/>
                <w:szCs w:val="21"/>
              </w:rPr>
              <w:t>小计</w:t>
            </w:r>
          </w:p>
        </w:tc>
        <w:tc>
          <w:tcPr>
            <w:tcW w:w="1080" w:type="dxa"/>
            <w:tcBorders>
              <w:top w:val="nil"/>
              <w:left w:val="nil"/>
              <w:bottom w:val="single" w:color="auto" w:sz="4" w:space="0"/>
              <w:right w:val="nil"/>
            </w:tcBorders>
            <w:shd w:val="clear" w:color="auto" w:fill="auto"/>
            <w:noWrap/>
            <w:vAlign w:val="center"/>
          </w:tcPr>
          <w:p w14:paraId="7C483E80">
            <w:pPr>
              <w:widowControl/>
              <w:jc w:val="center"/>
              <w:rPr>
                <w:color w:val="000000"/>
                <w:kern w:val="0"/>
                <w:szCs w:val="21"/>
              </w:rPr>
            </w:pPr>
            <w:r>
              <w:rPr>
                <w:color w:val="000000"/>
                <w:kern w:val="0"/>
                <w:szCs w:val="21"/>
              </w:rPr>
              <w:t>150</w:t>
            </w:r>
          </w:p>
        </w:tc>
        <w:tc>
          <w:tcPr>
            <w:tcW w:w="1080" w:type="dxa"/>
            <w:tcBorders>
              <w:top w:val="nil"/>
              <w:left w:val="nil"/>
              <w:bottom w:val="single" w:color="auto" w:sz="4" w:space="0"/>
              <w:right w:val="nil"/>
            </w:tcBorders>
            <w:shd w:val="clear" w:color="auto" w:fill="auto"/>
            <w:noWrap/>
            <w:vAlign w:val="bottom"/>
          </w:tcPr>
          <w:p w14:paraId="73D7D10F">
            <w:pPr>
              <w:widowControl/>
              <w:jc w:val="center"/>
              <w:rPr>
                <w:color w:val="000000"/>
                <w:kern w:val="0"/>
                <w:szCs w:val="21"/>
              </w:rPr>
            </w:pPr>
            <w:r>
              <w:rPr>
                <w:color w:val="000000"/>
                <w:kern w:val="0"/>
                <w:szCs w:val="21"/>
              </w:rPr>
              <w:t>0</w:t>
            </w:r>
          </w:p>
        </w:tc>
        <w:tc>
          <w:tcPr>
            <w:tcW w:w="1080" w:type="dxa"/>
            <w:tcBorders>
              <w:top w:val="nil"/>
              <w:left w:val="nil"/>
              <w:bottom w:val="single" w:color="auto" w:sz="4" w:space="0"/>
              <w:right w:val="nil"/>
            </w:tcBorders>
            <w:shd w:val="clear" w:color="auto" w:fill="auto"/>
            <w:noWrap/>
            <w:vAlign w:val="bottom"/>
          </w:tcPr>
          <w:p w14:paraId="4A8644BE">
            <w:pPr>
              <w:widowControl/>
              <w:jc w:val="center"/>
              <w:rPr>
                <w:color w:val="000000"/>
                <w:kern w:val="0"/>
                <w:szCs w:val="21"/>
              </w:rPr>
            </w:pPr>
            <w:r>
              <w:rPr>
                <w:color w:val="000000"/>
                <w:kern w:val="0"/>
                <w:szCs w:val="21"/>
              </w:rPr>
              <w:t xml:space="preserve">0.00 </w:t>
            </w:r>
          </w:p>
        </w:tc>
      </w:tr>
      <w:tr w14:paraId="54D143A8">
        <w:tblPrEx>
          <w:tblCellMar>
            <w:top w:w="0" w:type="dxa"/>
            <w:left w:w="108" w:type="dxa"/>
            <w:bottom w:w="0" w:type="dxa"/>
            <w:right w:w="108" w:type="dxa"/>
          </w:tblCellMar>
        </w:tblPrEx>
        <w:trPr>
          <w:trHeight w:val="270" w:hRule="atLeast"/>
          <w:jc w:val="center"/>
        </w:trPr>
        <w:tc>
          <w:tcPr>
            <w:tcW w:w="1080" w:type="dxa"/>
            <w:vMerge w:val="continue"/>
            <w:tcBorders>
              <w:top w:val="single" w:color="auto" w:sz="4" w:space="0"/>
              <w:left w:val="nil"/>
              <w:right w:val="nil"/>
            </w:tcBorders>
            <w:vAlign w:val="center"/>
          </w:tcPr>
          <w:p w14:paraId="04E9C75F">
            <w:pPr>
              <w:widowControl/>
              <w:jc w:val="left"/>
              <w:rPr>
                <w:color w:val="000000"/>
                <w:kern w:val="0"/>
                <w:szCs w:val="21"/>
              </w:rPr>
            </w:pPr>
          </w:p>
        </w:tc>
        <w:tc>
          <w:tcPr>
            <w:tcW w:w="1080" w:type="dxa"/>
            <w:vMerge w:val="restart"/>
            <w:tcBorders>
              <w:top w:val="nil"/>
              <w:left w:val="nil"/>
              <w:bottom w:val="nil"/>
              <w:right w:val="nil"/>
            </w:tcBorders>
            <w:shd w:val="clear" w:color="auto" w:fill="auto"/>
            <w:noWrap/>
            <w:vAlign w:val="center"/>
          </w:tcPr>
          <w:p w14:paraId="1F8C7775">
            <w:pPr>
              <w:widowControl/>
              <w:jc w:val="center"/>
              <w:rPr>
                <w:color w:val="000000"/>
                <w:kern w:val="0"/>
                <w:szCs w:val="21"/>
              </w:rPr>
            </w:pPr>
            <w:r>
              <w:rPr>
                <w:color w:val="000000"/>
                <w:kern w:val="0"/>
                <w:szCs w:val="21"/>
              </w:rPr>
              <w:t>2018</w:t>
            </w:r>
            <w:r>
              <w:rPr>
                <w:rFonts w:hAnsi="宋体"/>
                <w:color w:val="000000"/>
                <w:kern w:val="0"/>
                <w:szCs w:val="21"/>
              </w:rPr>
              <w:t>年</w:t>
            </w:r>
            <w:r>
              <w:rPr>
                <w:color w:val="000000"/>
                <w:kern w:val="0"/>
                <w:szCs w:val="21"/>
              </w:rPr>
              <w:t>10</w:t>
            </w:r>
            <w:r>
              <w:rPr>
                <w:rFonts w:hAnsi="宋体"/>
                <w:color w:val="000000"/>
                <w:kern w:val="0"/>
                <w:szCs w:val="21"/>
              </w:rPr>
              <w:t>月</w:t>
            </w:r>
          </w:p>
        </w:tc>
        <w:tc>
          <w:tcPr>
            <w:tcW w:w="1080" w:type="dxa"/>
            <w:tcBorders>
              <w:top w:val="nil"/>
              <w:left w:val="nil"/>
              <w:bottom w:val="nil"/>
              <w:right w:val="nil"/>
            </w:tcBorders>
            <w:shd w:val="clear" w:color="auto" w:fill="auto"/>
            <w:vAlign w:val="center"/>
          </w:tcPr>
          <w:p w14:paraId="0386B80D">
            <w:pPr>
              <w:widowControl/>
              <w:jc w:val="center"/>
              <w:rPr>
                <w:color w:val="000000"/>
                <w:kern w:val="0"/>
                <w:szCs w:val="21"/>
              </w:rPr>
            </w:pPr>
            <w:r>
              <w:rPr>
                <w:rFonts w:hAnsi="宋体"/>
                <w:color w:val="000000"/>
                <w:kern w:val="0"/>
                <w:szCs w:val="21"/>
              </w:rPr>
              <w:t>孔旺记</w:t>
            </w:r>
          </w:p>
        </w:tc>
        <w:tc>
          <w:tcPr>
            <w:tcW w:w="1080" w:type="dxa"/>
            <w:tcBorders>
              <w:top w:val="nil"/>
              <w:left w:val="nil"/>
              <w:bottom w:val="nil"/>
              <w:right w:val="nil"/>
            </w:tcBorders>
            <w:shd w:val="clear" w:color="auto" w:fill="auto"/>
            <w:noWrap/>
            <w:vAlign w:val="bottom"/>
          </w:tcPr>
          <w:p w14:paraId="4A0C8EFE">
            <w:pPr>
              <w:widowControl/>
              <w:jc w:val="center"/>
              <w:rPr>
                <w:color w:val="000000"/>
                <w:kern w:val="0"/>
                <w:szCs w:val="21"/>
              </w:rPr>
            </w:pPr>
            <w:r>
              <w:rPr>
                <w:color w:val="000000"/>
                <w:kern w:val="0"/>
                <w:szCs w:val="21"/>
              </w:rPr>
              <w:t>90</w:t>
            </w:r>
          </w:p>
        </w:tc>
        <w:tc>
          <w:tcPr>
            <w:tcW w:w="1080" w:type="dxa"/>
            <w:tcBorders>
              <w:top w:val="nil"/>
              <w:left w:val="nil"/>
              <w:bottom w:val="nil"/>
              <w:right w:val="nil"/>
            </w:tcBorders>
            <w:shd w:val="clear" w:color="auto" w:fill="auto"/>
            <w:noWrap/>
            <w:vAlign w:val="bottom"/>
          </w:tcPr>
          <w:p w14:paraId="027F72E7">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70A7FB69">
            <w:pPr>
              <w:widowControl/>
              <w:jc w:val="center"/>
              <w:rPr>
                <w:color w:val="000000"/>
                <w:kern w:val="0"/>
                <w:szCs w:val="21"/>
              </w:rPr>
            </w:pPr>
            <w:r>
              <w:rPr>
                <w:color w:val="000000"/>
                <w:kern w:val="0"/>
                <w:szCs w:val="21"/>
              </w:rPr>
              <w:t xml:space="preserve">0.00 </w:t>
            </w:r>
          </w:p>
        </w:tc>
      </w:tr>
      <w:tr w14:paraId="3F8224C9">
        <w:tblPrEx>
          <w:tblCellMar>
            <w:top w:w="0" w:type="dxa"/>
            <w:left w:w="108" w:type="dxa"/>
            <w:bottom w:w="0" w:type="dxa"/>
            <w:right w:w="108" w:type="dxa"/>
          </w:tblCellMar>
        </w:tblPrEx>
        <w:trPr>
          <w:trHeight w:val="270" w:hRule="atLeast"/>
          <w:jc w:val="center"/>
        </w:trPr>
        <w:tc>
          <w:tcPr>
            <w:tcW w:w="1080" w:type="dxa"/>
            <w:vMerge w:val="continue"/>
            <w:tcBorders>
              <w:top w:val="single" w:color="auto" w:sz="4" w:space="0"/>
              <w:left w:val="nil"/>
              <w:right w:val="nil"/>
            </w:tcBorders>
            <w:vAlign w:val="center"/>
          </w:tcPr>
          <w:p w14:paraId="27CCB41B">
            <w:pPr>
              <w:widowControl/>
              <w:jc w:val="left"/>
              <w:rPr>
                <w:color w:val="000000"/>
                <w:kern w:val="0"/>
                <w:szCs w:val="21"/>
              </w:rPr>
            </w:pPr>
          </w:p>
        </w:tc>
        <w:tc>
          <w:tcPr>
            <w:tcW w:w="1080" w:type="dxa"/>
            <w:vMerge w:val="continue"/>
            <w:tcBorders>
              <w:top w:val="nil"/>
              <w:left w:val="nil"/>
              <w:bottom w:val="nil"/>
              <w:right w:val="nil"/>
            </w:tcBorders>
            <w:vAlign w:val="center"/>
          </w:tcPr>
          <w:p w14:paraId="631E54DA">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51F59264">
            <w:pPr>
              <w:widowControl/>
              <w:jc w:val="center"/>
              <w:rPr>
                <w:color w:val="000000"/>
                <w:kern w:val="0"/>
                <w:szCs w:val="21"/>
              </w:rPr>
            </w:pPr>
            <w:r>
              <w:rPr>
                <w:rFonts w:hAnsi="宋体"/>
                <w:color w:val="000000"/>
                <w:kern w:val="0"/>
                <w:szCs w:val="21"/>
              </w:rPr>
              <w:t>超市</w:t>
            </w:r>
          </w:p>
        </w:tc>
        <w:tc>
          <w:tcPr>
            <w:tcW w:w="1080" w:type="dxa"/>
            <w:tcBorders>
              <w:top w:val="nil"/>
              <w:left w:val="nil"/>
              <w:bottom w:val="nil"/>
              <w:right w:val="nil"/>
            </w:tcBorders>
            <w:shd w:val="clear" w:color="auto" w:fill="auto"/>
            <w:noWrap/>
            <w:vAlign w:val="bottom"/>
          </w:tcPr>
          <w:p w14:paraId="406E7432">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488BB238">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3C869E86">
            <w:pPr>
              <w:widowControl/>
              <w:jc w:val="center"/>
              <w:rPr>
                <w:color w:val="000000"/>
                <w:kern w:val="0"/>
                <w:szCs w:val="21"/>
              </w:rPr>
            </w:pPr>
            <w:r>
              <w:rPr>
                <w:color w:val="000000"/>
                <w:kern w:val="0"/>
                <w:szCs w:val="21"/>
              </w:rPr>
              <w:t xml:space="preserve">0.00 </w:t>
            </w:r>
          </w:p>
        </w:tc>
      </w:tr>
      <w:tr w14:paraId="5DFCB9FE">
        <w:tblPrEx>
          <w:tblCellMar>
            <w:top w:w="0" w:type="dxa"/>
            <w:left w:w="108" w:type="dxa"/>
            <w:bottom w:w="0" w:type="dxa"/>
            <w:right w:w="108" w:type="dxa"/>
          </w:tblCellMar>
        </w:tblPrEx>
        <w:trPr>
          <w:trHeight w:val="270" w:hRule="atLeast"/>
          <w:jc w:val="center"/>
        </w:trPr>
        <w:tc>
          <w:tcPr>
            <w:tcW w:w="1080" w:type="dxa"/>
            <w:vMerge w:val="continue"/>
            <w:tcBorders>
              <w:top w:val="single" w:color="auto" w:sz="4" w:space="0"/>
              <w:left w:val="nil"/>
              <w:right w:val="nil"/>
            </w:tcBorders>
            <w:vAlign w:val="center"/>
          </w:tcPr>
          <w:p w14:paraId="598789FA">
            <w:pPr>
              <w:widowControl/>
              <w:jc w:val="left"/>
              <w:rPr>
                <w:color w:val="000000"/>
                <w:kern w:val="0"/>
                <w:szCs w:val="21"/>
              </w:rPr>
            </w:pPr>
          </w:p>
        </w:tc>
        <w:tc>
          <w:tcPr>
            <w:tcW w:w="1080" w:type="dxa"/>
            <w:vMerge w:val="continue"/>
            <w:tcBorders>
              <w:top w:val="nil"/>
              <w:left w:val="nil"/>
              <w:bottom w:val="nil"/>
              <w:right w:val="nil"/>
            </w:tcBorders>
            <w:vAlign w:val="center"/>
          </w:tcPr>
          <w:p w14:paraId="73FC8AF2">
            <w:pPr>
              <w:widowControl/>
              <w:jc w:val="left"/>
              <w:rPr>
                <w:color w:val="000000"/>
                <w:kern w:val="0"/>
                <w:szCs w:val="21"/>
              </w:rPr>
            </w:pPr>
          </w:p>
        </w:tc>
        <w:tc>
          <w:tcPr>
            <w:tcW w:w="1080" w:type="dxa"/>
            <w:tcBorders>
              <w:top w:val="nil"/>
              <w:left w:val="nil"/>
              <w:bottom w:val="nil"/>
              <w:right w:val="nil"/>
            </w:tcBorders>
            <w:shd w:val="clear" w:color="auto" w:fill="auto"/>
            <w:vAlign w:val="center"/>
          </w:tcPr>
          <w:p w14:paraId="2AFA2E87">
            <w:pPr>
              <w:widowControl/>
              <w:jc w:val="center"/>
              <w:rPr>
                <w:color w:val="000000"/>
                <w:kern w:val="0"/>
                <w:szCs w:val="21"/>
              </w:rPr>
            </w:pPr>
            <w:r>
              <w:rPr>
                <w:rFonts w:hAnsi="宋体"/>
                <w:color w:val="000000"/>
                <w:kern w:val="0"/>
                <w:szCs w:val="21"/>
              </w:rPr>
              <w:t>农贸市场</w:t>
            </w:r>
          </w:p>
        </w:tc>
        <w:tc>
          <w:tcPr>
            <w:tcW w:w="1080" w:type="dxa"/>
            <w:tcBorders>
              <w:top w:val="nil"/>
              <w:left w:val="nil"/>
              <w:bottom w:val="nil"/>
              <w:right w:val="nil"/>
            </w:tcBorders>
            <w:shd w:val="clear" w:color="auto" w:fill="auto"/>
            <w:noWrap/>
            <w:vAlign w:val="bottom"/>
          </w:tcPr>
          <w:p w14:paraId="45D8C281">
            <w:pPr>
              <w:widowControl/>
              <w:jc w:val="center"/>
              <w:rPr>
                <w:color w:val="000000"/>
                <w:kern w:val="0"/>
                <w:szCs w:val="21"/>
              </w:rPr>
            </w:pPr>
            <w:r>
              <w:rPr>
                <w:color w:val="000000"/>
                <w:kern w:val="0"/>
                <w:szCs w:val="21"/>
              </w:rPr>
              <w:t>30</w:t>
            </w:r>
          </w:p>
        </w:tc>
        <w:tc>
          <w:tcPr>
            <w:tcW w:w="1080" w:type="dxa"/>
            <w:tcBorders>
              <w:top w:val="nil"/>
              <w:left w:val="nil"/>
              <w:bottom w:val="nil"/>
              <w:right w:val="nil"/>
            </w:tcBorders>
            <w:shd w:val="clear" w:color="auto" w:fill="auto"/>
            <w:noWrap/>
            <w:vAlign w:val="bottom"/>
          </w:tcPr>
          <w:p w14:paraId="66909227">
            <w:pPr>
              <w:widowControl/>
              <w:jc w:val="center"/>
              <w:rPr>
                <w:color w:val="000000"/>
                <w:kern w:val="0"/>
                <w:szCs w:val="21"/>
              </w:rPr>
            </w:pPr>
            <w:r>
              <w:rPr>
                <w:color w:val="000000"/>
                <w:kern w:val="0"/>
                <w:szCs w:val="21"/>
              </w:rPr>
              <w:t>0</w:t>
            </w:r>
          </w:p>
        </w:tc>
        <w:tc>
          <w:tcPr>
            <w:tcW w:w="1080" w:type="dxa"/>
            <w:tcBorders>
              <w:top w:val="nil"/>
              <w:left w:val="nil"/>
              <w:bottom w:val="nil"/>
              <w:right w:val="nil"/>
            </w:tcBorders>
            <w:shd w:val="clear" w:color="auto" w:fill="auto"/>
            <w:noWrap/>
            <w:vAlign w:val="bottom"/>
          </w:tcPr>
          <w:p w14:paraId="0E85FCAC">
            <w:pPr>
              <w:widowControl/>
              <w:jc w:val="center"/>
              <w:rPr>
                <w:color w:val="000000"/>
                <w:kern w:val="0"/>
                <w:szCs w:val="21"/>
              </w:rPr>
            </w:pPr>
            <w:r>
              <w:rPr>
                <w:color w:val="000000"/>
                <w:kern w:val="0"/>
                <w:szCs w:val="21"/>
              </w:rPr>
              <w:t xml:space="preserve">0.00 </w:t>
            </w:r>
          </w:p>
        </w:tc>
      </w:tr>
      <w:tr w14:paraId="022DF8A6">
        <w:tblPrEx>
          <w:tblCellMar>
            <w:top w:w="0" w:type="dxa"/>
            <w:left w:w="108" w:type="dxa"/>
            <w:bottom w:w="0" w:type="dxa"/>
            <w:right w:w="108" w:type="dxa"/>
          </w:tblCellMar>
        </w:tblPrEx>
        <w:trPr>
          <w:trHeight w:val="270" w:hRule="atLeast"/>
          <w:jc w:val="center"/>
        </w:trPr>
        <w:tc>
          <w:tcPr>
            <w:tcW w:w="1080" w:type="dxa"/>
            <w:vMerge w:val="continue"/>
            <w:tcBorders>
              <w:top w:val="single" w:color="auto" w:sz="4" w:space="0"/>
              <w:left w:val="nil"/>
              <w:right w:val="nil"/>
            </w:tcBorders>
            <w:vAlign w:val="center"/>
          </w:tcPr>
          <w:p w14:paraId="3C2DC467">
            <w:pPr>
              <w:widowControl/>
              <w:jc w:val="left"/>
              <w:rPr>
                <w:color w:val="000000"/>
                <w:kern w:val="0"/>
                <w:szCs w:val="21"/>
              </w:rPr>
            </w:pPr>
          </w:p>
        </w:tc>
        <w:tc>
          <w:tcPr>
            <w:tcW w:w="1080" w:type="dxa"/>
            <w:vMerge w:val="continue"/>
            <w:tcBorders>
              <w:top w:val="nil"/>
              <w:left w:val="nil"/>
              <w:bottom w:val="nil"/>
              <w:right w:val="nil"/>
            </w:tcBorders>
            <w:vAlign w:val="center"/>
          </w:tcPr>
          <w:p w14:paraId="7C028759">
            <w:pPr>
              <w:widowControl/>
              <w:jc w:val="left"/>
              <w:rPr>
                <w:color w:val="000000"/>
                <w:kern w:val="0"/>
                <w:szCs w:val="21"/>
              </w:rPr>
            </w:pPr>
          </w:p>
        </w:tc>
        <w:tc>
          <w:tcPr>
            <w:tcW w:w="1080" w:type="dxa"/>
            <w:tcBorders>
              <w:top w:val="nil"/>
              <w:left w:val="nil"/>
              <w:bottom w:val="single" w:color="auto" w:sz="4" w:space="0"/>
              <w:right w:val="nil"/>
            </w:tcBorders>
            <w:shd w:val="clear" w:color="auto" w:fill="auto"/>
            <w:vAlign w:val="center"/>
          </w:tcPr>
          <w:p w14:paraId="3273F44B">
            <w:pPr>
              <w:widowControl/>
              <w:jc w:val="center"/>
              <w:rPr>
                <w:b/>
                <w:bCs/>
                <w:color w:val="000000"/>
                <w:kern w:val="0"/>
                <w:szCs w:val="21"/>
              </w:rPr>
            </w:pPr>
            <w:r>
              <w:rPr>
                <w:rFonts w:hAnsi="宋体"/>
                <w:b/>
                <w:bCs/>
                <w:color w:val="000000"/>
                <w:kern w:val="0"/>
                <w:szCs w:val="21"/>
              </w:rPr>
              <w:t>小计</w:t>
            </w:r>
          </w:p>
        </w:tc>
        <w:tc>
          <w:tcPr>
            <w:tcW w:w="1080" w:type="dxa"/>
            <w:tcBorders>
              <w:top w:val="nil"/>
              <w:left w:val="nil"/>
              <w:bottom w:val="single" w:color="auto" w:sz="4" w:space="0"/>
              <w:right w:val="nil"/>
            </w:tcBorders>
            <w:shd w:val="clear" w:color="auto" w:fill="auto"/>
            <w:noWrap/>
            <w:vAlign w:val="center"/>
          </w:tcPr>
          <w:p w14:paraId="27B83134">
            <w:pPr>
              <w:widowControl/>
              <w:jc w:val="center"/>
              <w:rPr>
                <w:color w:val="000000"/>
                <w:kern w:val="0"/>
                <w:szCs w:val="21"/>
              </w:rPr>
            </w:pPr>
            <w:r>
              <w:rPr>
                <w:color w:val="000000"/>
                <w:kern w:val="0"/>
                <w:szCs w:val="21"/>
              </w:rPr>
              <w:t>150</w:t>
            </w:r>
          </w:p>
        </w:tc>
        <w:tc>
          <w:tcPr>
            <w:tcW w:w="1080" w:type="dxa"/>
            <w:tcBorders>
              <w:top w:val="nil"/>
              <w:left w:val="nil"/>
              <w:bottom w:val="single" w:color="auto" w:sz="4" w:space="0"/>
              <w:right w:val="nil"/>
            </w:tcBorders>
            <w:shd w:val="clear" w:color="auto" w:fill="auto"/>
            <w:noWrap/>
            <w:vAlign w:val="bottom"/>
          </w:tcPr>
          <w:p w14:paraId="6703B8FC">
            <w:pPr>
              <w:widowControl/>
              <w:jc w:val="center"/>
              <w:rPr>
                <w:color w:val="000000"/>
                <w:kern w:val="0"/>
                <w:szCs w:val="21"/>
              </w:rPr>
            </w:pPr>
            <w:r>
              <w:rPr>
                <w:color w:val="000000"/>
                <w:kern w:val="0"/>
                <w:szCs w:val="21"/>
              </w:rPr>
              <w:t>0</w:t>
            </w:r>
          </w:p>
        </w:tc>
        <w:tc>
          <w:tcPr>
            <w:tcW w:w="1080" w:type="dxa"/>
            <w:tcBorders>
              <w:top w:val="nil"/>
              <w:left w:val="nil"/>
              <w:bottom w:val="single" w:color="auto" w:sz="4" w:space="0"/>
              <w:right w:val="nil"/>
            </w:tcBorders>
            <w:shd w:val="clear" w:color="auto" w:fill="auto"/>
            <w:noWrap/>
            <w:vAlign w:val="bottom"/>
          </w:tcPr>
          <w:p w14:paraId="40FB16EF">
            <w:pPr>
              <w:widowControl/>
              <w:jc w:val="center"/>
              <w:rPr>
                <w:color w:val="000000"/>
                <w:kern w:val="0"/>
                <w:szCs w:val="21"/>
              </w:rPr>
            </w:pPr>
            <w:r>
              <w:rPr>
                <w:color w:val="000000"/>
                <w:kern w:val="0"/>
                <w:szCs w:val="21"/>
              </w:rPr>
              <w:t xml:space="preserve">0.00 </w:t>
            </w:r>
          </w:p>
        </w:tc>
      </w:tr>
      <w:tr w14:paraId="25AFC7BC">
        <w:tblPrEx>
          <w:tblCellMar>
            <w:top w:w="0" w:type="dxa"/>
            <w:left w:w="108" w:type="dxa"/>
            <w:bottom w:w="0" w:type="dxa"/>
            <w:right w:w="108" w:type="dxa"/>
          </w:tblCellMar>
        </w:tblPrEx>
        <w:trPr>
          <w:trHeight w:val="270" w:hRule="atLeast"/>
          <w:jc w:val="center"/>
        </w:trPr>
        <w:tc>
          <w:tcPr>
            <w:tcW w:w="3240" w:type="dxa"/>
            <w:gridSpan w:val="3"/>
            <w:tcBorders>
              <w:top w:val="single" w:color="auto" w:sz="4" w:space="0"/>
              <w:left w:val="nil"/>
              <w:bottom w:val="single" w:color="auto" w:sz="4" w:space="0"/>
              <w:right w:val="nil"/>
            </w:tcBorders>
            <w:shd w:val="clear" w:color="auto" w:fill="auto"/>
            <w:noWrap/>
            <w:vAlign w:val="center"/>
          </w:tcPr>
          <w:p w14:paraId="31BEA501">
            <w:pPr>
              <w:widowControl/>
              <w:jc w:val="center"/>
              <w:rPr>
                <w:b/>
                <w:bCs/>
                <w:color w:val="000000"/>
                <w:kern w:val="0"/>
                <w:szCs w:val="21"/>
              </w:rPr>
            </w:pPr>
            <w:r>
              <w:rPr>
                <w:rFonts w:hAnsi="宋体"/>
                <w:b/>
                <w:bCs/>
                <w:color w:val="000000"/>
                <w:kern w:val="0"/>
                <w:szCs w:val="21"/>
              </w:rPr>
              <w:t>合计</w:t>
            </w:r>
          </w:p>
        </w:tc>
        <w:tc>
          <w:tcPr>
            <w:tcW w:w="1080" w:type="dxa"/>
            <w:tcBorders>
              <w:top w:val="nil"/>
              <w:left w:val="nil"/>
              <w:bottom w:val="single" w:color="auto" w:sz="4" w:space="0"/>
              <w:right w:val="nil"/>
            </w:tcBorders>
            <w:shd w:val="clear" w:color="auto" w:fill="auto"/>
            <w:noWrap/>
            <w:vAlign w:val="center"/>
          </w:tcPr>
          <w:p w14:paraId="66B0E8D6">
            <w:pPr>
              <w:widowControl/>
              <w:jc w:val="center"/>
              <w:rPr>
                <w:b/>
                <w:bCs/>
                <w:color w:val="000000"/>
                <w:kern w:val="0"/>
                <w:szCs w:val="21"/>
              </w:rPr>
            </w:pPr>
            <w:r>
              <w:rPr>
                <w:b/>
                <w:bCs/>
                <w:color w:val="000000"/>
                <w:kern w:val="0"/>
                <w:szCs w:val="21"/>
              </w:rPr>
              <w:t>658</w:t>
            </w:r>
          </w:p>
        </w:tc>
        <w:tc>
          <w:tcPr>
            <w:tcW w:w="1080" w:type="dxa"/>
            <w:tcBorders>
              <w:top w:val="nil"/>
              <w:left w:val="nil"/>
              <w:bottom w:val="single" w:color="auto" w:sz="4" w:space="0"/>
              <w:right w:val="nil"/>
            </w:tcBorders>
            <w:shd w:val="clear" w:color="auto" w:fill="auto"/>
            <w:noWrap/>
            <w:vAlign w:val="center"/>
          </w:tcPr>
          <w:p w14:paraId="7C224649">
            <w:pPr>
              <w:widowControl/>
              <w:jc w:val="center"/>
              <w:rPr>
                <w:b/>
                <w:bCs/>
                <w:color w:val="000000"/>
                <w:kern w:val="0"/>
                <w:szCs w:val="21"/>
              </w:rPr>
            </w:pPr>
            <w:r>
              <w:rPr>
                <w:b/>
                <w:bCs/>
                <w:color w:val="000000"/>
                <w:kern w:val="0"/>
                <w:szCs w:val="21"/>
              </w:rPr>
              <w:t>6</w:t>
            </w:r>
          </w:p>
        </w:tc>
        <w:tc>
          <w:tcPr>
            <w:tcW w:w="1080" w:type="dxa"/>
            <w:tcBorders>
              <w:top w:val="nil"/>
              <w:left w:val="nil"/>
              <w:bottom w:val="single" w:color="auto" w:sz="4" w:space="0"/>
              <w:right w:val="nil"/>
            </w:tcBorders>
            <w:shd w:val="clear" w:color="auto" w:fill="auto"/>
            <w:noWrap/>
            <w:vAlign w:val="center"/>
          </w:tcPr>
          <w:p w14:paraId="5813EDEE">
            <w:pPr>
              <w:widowControl/>
              <w:jc w:val="center"/>
              <w:rPr>
                <w:b/>
                <w:bCs/>
                <w:color w:val="000000"/>
                <w:kern w:val="0"/>
                <w:szCs w:val="21"/>
              </w:rPr>
            </w:pPr>
            <w:r>
              <w:rPr>
                <w:b/>
                <w:bCs/>
                <w:color w:val="000000"/>
                <w:kern w:val="0"/>
                <w:szCs w:val="21"/>
              </w:rPr>
              <w:t>0.91</w:t>
            </w:r>
          </w:p>
        </w:tc>
      </w:tr>
    </w:tbl>
    <w:p w14:paraId="4166A5C2">
      <w:pPr>
        <w:autoSpaceDE w:val="0"/>
        <w:autoSpaceDN w:val="0"/>
        <w:adjustRightInd w:val="0"/>
        <w:snapToGrid w:val="0"/>
        <w:spacing w:line="360" w:lineRule="auto"/>
        <w:jc w:val="left"/>
        <w:rPr>
          <w:rFonts w:eastAsiaTheme="minorEastAsia"/>
          <w:kern w:val="0"/>
          <w:sz w:val="24"/>
        </w:rPr>
      </w:pPr>
    </w:p>
    <w:p w14:paraId="3D11F3A7">
      <w:pPr>
        <w:adjustRightInd w:val="0"/>
        <w:snapToGrid w:val="0"/>
        <w:spacing w:line="360" w:lineRule="auto"/>
        <w:ind w:firstLine="480" w:firstLineChars="200"/>
        <w:rPr>
          <w:sz w:val="24"/>
        </w:rPr>
      </w:pPr>
      <w:r>
        <w:rPr>
          <w:rFonts w:hint="eastAsia"/>
          <w:sz w:val="24"/>
        </w:rPr>
        <w:t>为</w:t>
      </w:r>
      <w:r>
        <w:rPr>
          <w:sz w:val="24"/>
        </w:rPr>
        <w:t>了解上海</w:t>
      </w:r>
      <w:r>
        <w:rPr>
          <w:rFonts w:hint="eastAsia"/>
          <w:sz w:val="24"/>
        </w:rPr>
        <w:t>及周边地区</w:t>
      </w:r>
      <w:r>
        <w:rPr>
          <w:sz w:val="24"/>
        </w:rPr>
        <w:t>市售蛙类裂头蚴感染情况及其种类</w:t>
      </w:r>
      <w:r>
        <w:rPr>
          <w:rFonts w:hint="eastAsia"/>
          <w:sz w:val="24"/>
        </w:rPr>
        <w:t>，于</w:t>
      </w:r>
      <w:r>
        <w:rPr>
          <w:sz w:val="24"/>
        </w:rPr>
        <w:t>2017年</w:t>
      </w:r>
      <w:r>
        <w:rPr>
          <w:rFonts w:hint="eastAsia"/>
          <w:sz w:val="24"/>
        </w:rPr>
        <w:t>5月</w:t>
      </w:r>
      <w:r>
        <w:rPr>
          <w:sz w:val="24"/>
        </w:rPr>
        <w:t>-201</w:t>
      </w:r>
      <w:r>
        <w:rPr>
          <w:rFonts w:hint="eastAsia"/>
          <w:sz w:val="24"/>
        </w:rPr>
        <w:t>9</w:t>
      </w:r>
      <w:r>
        <w:rPr>
          <w:sz w:val="24"/>
        </w:rPr>
        <w:t>年</w:t>
      </w:r>
      <w:r>
        <w:rPr>
          <w:rFonts w:hint="eastAsia"/>
          <w:sz w:val="24"/>
        </w:rPr>
        <w:t>6月</w:t>
      </w:r>
      <w:r>
        <w:rPr>
          <w:sz w:val="24"/>
        </w:rPr>
        <w:t>在上海市闵行</w:t>
      </w:r>
      <w:r>
        <w:rPr>
          <w:rFonts w:hint="eastAsia"/>
          <w:sz w:val="24"/>
        </w:rPr>
        <w:t>区</w:t>
      </w:r>
      <w:r>
        <w:rPr>
          <w:sz w:val="24"/>
        </w:rPr>
        <w:t>、松江</w:t>
      </w:r>
      <w:r>
        <w:rPr>
          <w:rFonts w:hint="eastAsia"/>
          <w:sz w:val="24"/>
        </w:rPr>
        <w:t>区</w:t>
      </w:r>
      <w:r>
        <w:rPr>
          <w:sz w:val="24"/>
        </w:rPr>
        <w:t>和奉贤区</w:t>
      </w:r>
      <w:r>
        <w:rPr>
          <w:rFonts w:hint="eastAsia"/>
          <w:sz w:val="24"/>
        </w:rPr>
        <w:t>，江苏省的海门市和南通市通州区，以及浙江省嘉善县</w:t>
      </w:r>
      <w:r>
        <w:rPr>
          <w:sz w:val="24"/>
        </w:rPr>
        <w:t>的农贸市场购买蛙类，</w:t>
      </w:r>
      <w:r>
        <w:rPr>
          <w:rFonts w:hint="eastAsia"/>
          <w:sz w:val="24"/>
        </w:rPr>
        <w:t>解剖、</w:t>
      </w:r>
      <w:r>
        <w:rPr>
          <w:sz w:val="24"/>
        </w:rPr>
        <w:t>分离裂头蚴，记录阳性率、寄生部位及虫体长度；用体式显微镜观察虫体运动</w:t>
      </w:r>
      <w:r>
        <w:rPr>
          <w:rFonts w:hint="eastAsia"/>
          <w:sz w:val="24"/>
        </w:rPr>
        <w:t>情况</w:t>
      </w:r>
      <w:r>
        <w:rPr>
          <w:sz w:val="24"/>
        </w:rPr>
        <w:t>；用苏木素染色后进行形态学鉴定；提取裂头蚴基因组DNA，PCR扩增</w:t>
      </w:r>
      <w:r>
        <w:rPr>
          <w:i/>
          <w:sz w:val="24"/>
        </w:rPr>
        <w:t>cox</w:t>
      </w:r>
      <w:r>
        <w:rPr>
          <w:sz w:val="24"/>
        </w:rPr>
        <w:t>1基因并进行序列系统发育分析。</w:t>
      </w:r>
      <w:r>
        <w:rPr>
          <w:rFonts w:hint="eastAsia"/>
          <w:sz w:val="24"/>
        </w:rPr>
        <w:t>结果</w:t>
      </w:r>
      <w:r>
        <w:rPr>
          <w:sz w:val="24"/>
        </w:rPr>
        <w:t>共检测</w:t>
      </w:r>
      <w:r>
        <w:rPr>
          <w:rFonts w:hint="eastAsia"/>
          <w:sz w:val="24"/>
        </w:rPr>
        <w:t>386</w:t>
      </w:r>
      <w:r>
        <w:rPr>
          <w:sz w:val="24"/>
        </w:rPr>
        <w:t>只蛙，分属泽陆蛙（</w:t>
      </w:r>
      <w:r>
        <w:rPr>
          <w:i/>
          <w:sz w:val="24"/>
        </w:rPr>
        <w:t>Fejervarya multistriata</w:t>
      </w:r>
      <w:r>
        <w:rPr>
          <w:sz w:val="24"/>
        </w:rPr>
        <w:t>）、黑斑蛙（</w:t>
      </w:r>
      <w:r>
        <w:rPr>
          <w:i/>
          <w:iCs/>
          <w:color w:val="333333"/>
          <w:sz w:val="24"/>
          <w:shd w:val="clear" w:color="auto" w:fill="FFFFFF"/>
        </w:rPr>
        <w:t>Pelophylax nigromaculatus</w:t>
      </w:r>
      <w:r>
        <w:rPr>
          <w:sz w:val="24"/>
        </w:rPr>
        <w:t>）、牛蛙（</w:t>
      </w:r>
      <w:r>
        <w:rPr>
          <w:rStyle w:val="9"/>
          <w:iCs w:val="0"/>
          <w:color w:val="333333"/>
          <w:sz w:val="24"/>
          <w:shd w:val="clear" w:color="auto" w:fill="FFFFFF"/>
        </w:rPr>
        <w:t>Lithobates catesbeiana</w:t>
      </w:r>
      <w:r>
        <w:rPr>
          <w:sz w:val="24"/>
        </w:rPr>
        <w:t>）、棘胸蛙（</w:t>
      </w:r>
      <w:r>
        <w:rPr>
          <w:i/>
          <w:color w:val="333333"/>
          <w:sz w:val="24"/>
          <w:shd w:val="clear" w:color="auto" w:fill="FFFFFF"/>
        </w:rPr>
        <w:t>Quasipaa spinosa</w:t>
      </w:r>
      <w:r>
        <w:rPr>
          <w:sz w:val="24"/>
        </w:rPr>
        <w:t>）及中华大蟾蜍（</w:t>
      </w:r>
      <w:r>
        <w:rPr>
          <w:i/>
          <w:sz w:val="24"/>
        </w:rPr>
        <w:t>Bufo gargarizans</w:t>
      </w:r>
      <w:r>
        <w:rPr>
          <w:sz w:val="24"/>
        </w:rPr>
        <w:t>），裂头蚴的</w:t>
      </w:r>
      <w:r>
        <w:rPr>
          <w:rFonts w:hint="eastAsia"/>
          <w:sz w:val="24"/>
        </w:rPr>
        <w:t>总</w:t>
      </w:r>
      <w:r>
        <w:rPr>
          <w:sz w:val="24"/>
        </w:rPr>
        <w:t>阳性率为4.92%（19/386），最大感染强度为11条/只，其中黑斑蛙感染率为7.74%（13/168），泽陆蛙感染率为6.32%（6/95），其他蛙类未检测到裂头蚴，5种蛙的感染率差异不显著（</w:t>
      </w:r>
      <w:r>
        <w:rPr>
          <w:i/>
          <w:iCs/>
          <w:sz w:val="24"/>
        </w:rPr>
        <w:t>p</w:t>
      </w:r>
      <w:r>
        <w:rPr>
          <w:sz w:val="24"/>
        </w:rPr>
        <w:t>&gt;0.05）（表</w:t>
      </w:r>
      <w:r>
        <w:rPr>
          <w:rFonts w:hint="eastAsia"/>
          <w:sz w:val="24"/>
        </w:rPr>
        <w:t>2</w:t>
      </w:r>
      <w:r>
        <w:rPr>
          <w:sz w:val="24"/>
        </w:rPr>
        <w:t>）。感染率最高的地区是海门市，达10.84%，接着是闵行区、奉贤区、松江区、通州区，最</w:t>
      </w:r>
      <w:r>
        <w:rPr>
          <w:rFonts w:hint="eastAsia"/>
          <w:sz w:val="24"/>
        </w:rPr>
        <w:t>低是嘉善县，分别为9.52%、8.70%、6.67%、3.33%和0</w:t>
      </w:r>
      <w:r>
        <w:rPr>
          <w:sz w:val="24"/>
        </w:rPr>
        <w:t>，</w:t>
      </w:r>
      <w:r>
        <w:rPr>
          <w:rFonts w:hint="eastAsia"/>
          <w:sz w:val="24"/>
        </w:rPr>
        <w:t>城市间</w:t>
      </w:r>
      <w:r>
        <w:rPr>
          <w:sz w:val="24"/>
        </w:rPr>
        <w:t>感染率差异</w:t>
      </w:r>
      <w:r>
        <w:rPr>
          <w:rFonts w:hint="eastAsia"/>
          <w:sz w:val="24"/>
        </w:rPr>
        <w:t>不</w:t>
      </w:r>
      <w:r>
        <w:rPr>
          <w:sz w:val="24"/>
        </w:rPr>
        <w:t>显著（</w:t>
      </w:r>
      <w:r>
        <w:rPr>
          <w:i/>
          <w:sz w:val="24"/>
        </w:rPr>
        <w:t>p</w:t>
      </w:r>
      <w:r>
        <w:rPr>
          <w:sz w:val="24"/>
        </w:rPr>
        <w:t>&gt;0.05）</w:t>
      </w:r>
      <w:r>
        <w:rPr>
          <w:rFonts w:hint="eastAsia"/>
          <w:sz w:val="24"/>
        </w:rPr>
        <w:t>（表3）</w:t>
      </w:r>
      <w:r>
        <w:rPr>
          <w:sz w:val="24"/>
        </w:rPr>
        <w:t>。累计获得</w:t>
      </w:r>
      <w:r>
        <w:rPr>
          <w:rFonts w:hint="eastAsia"/>
          <w:sz w:val="24"/>
        </w:rPr>
        <w:t>39</w:t>
      </w:r>
      <w:r>
        <w:rPr>
          <w:sz w:val="24"/>
        </w:rPr>
        <w:t>条裂头蚴，长度在0.2 cm-7.0 cm之间，</w:t>
      </w:r>
      <w:r>
        <w:rPr>
          <w:rFonts w:hint="eastAsia"/>
          <w:sz w:val="24"/>
        </w:rPr>
        <w:t>头节平均长宽为0.2 mm和1.5 mm，</w:t>
      </w:r>
      <w:r>
        <w:rPr>
          <w:sz w:val="24"/>
        </w:rPr>
        <w:t>形态上类似</w:t>
      </w:r>
      <w:r>
        <w:rPr>
          <w:rFonts w:hint="eastAsia"/>
          <w:sz w:val="24"/>
        </w:rPr>
        <w:t>曼氏裂头蚴</w:t>
      </w:r>
      <w:r>
        <w:rPr>
          <w:sz w:val="24"/>
        </w:rPr>
        <w:t>，其中76.47%的虫体寄生于四肢骨骼肌中，11.76%寄生于背脊肌肉中</w:t>
      </w:r>
      <w:r>
        <w:rPr>
          <w:rFonts w:hint="eastAsia"/>
          <w:sz w:val="24"/>
        </w:rPr>
        <w:t>（图1）</w:t>
      </w:r>
      <w:r>
        <w:rPr>
          <w:sz w:val="24"/>
        </w:rPr>
        <w:t>，二者差异极显著（χ</w:t>
      </w:r>
      <w:r>
        <w:rPr>
          <w:sz w:val="24"/>
          <w:vertAlign w:val="superscript"/>
        </w:rPr>
        <w:t>2</w:t>
      </w:r>
      <w:r>
        <w:rPr>
          <w:sz w:val="24"/>
        </w:rPr>
        <w:t>=21.048，</w:t>
      </w:r>
      <w:r>
        <w:rPr>
          <w:i/>
          <w:iCs/>
          <w:sz w:val="24"/>
        </w:rPr>
        <w:t>p</w:t>
      </w:r>
      <w:r>
        <w:rPr>
          <w:iCs/>
          <w:sz w:val="24"/>
        </w:rPr>
        <w:t>&lt;</w:t>
      </w:r>
      <w:r>
        <w:rPr>
          <w:sz w:val="24"/>
        </w:rPr>
        <w:t>0.001）。</w:t>
      </w:r>
      <w:r>
        <w:rPr>
          <w:rFonts w:hint="eastAsia"/>
          <w:sz w:val="24"/>
        </w:rPr>
        <w:t>裂头蚴形态与文献报道的曼氏跌宫绦虫裂头蚴近似（图2）。39</w:t>
      </w:r>
      <w:r>
        <w:rPr>
          <w:sz w:val="24"/>
        </w:rPr>
        <w:t>条裂头蚴</w:t>
      </w:r>
      <w:r>
        <w:rPr>
          <w:rFonts w:hint="eastAsia"/>
          <w:sz w:val="24"/>
        </w:rPr>
        <w:t>部分</w:t>
      </w:r>
      <w:r>
        <w:rPr>
          <w:i/>
          <w:sz w:val="24"/>
        </w:rPr>
        <w:t>cox</w:t>
      </w:r>
      <w:r>
        <w:rPr>
          <w:sz w:val="24"/>
        </w:rPr>
        <w:t>1</w:t>
      </w:r>
      <w:r>
        <w:rPr>
          <w:rFonts w:hint="eastAsia"/>
          <w:sz w:val="24"/>
        </w:rPr>
        <w:t>和</w:t>
      </w:r>
      <w:r>
        <w:rPr>
          <w:i/>
          <w:sz w:val="24"/>
        </w:rPr>
        <w:t>nad</w:t>
      </w:r>
      <w:r>
        <w:rPr>
          <w:sz w:val="24"/>
        </w:rPr>
        <w:t>1基因序列长度一致</w:t>
      </w:r>
      <w:r>
        <w:rPr>
          <w:rFonts w:hint="eastAsia"/>
          <w:sz w:val="24"/>
        </w:rPr>
        <w:t>分别为</w:t>
      </w:r>
      <w:r>
        <w:rPr>
          <w:sz w:val="24"/>
        </w:rPr>
        <w:t>418~448</w:t>
      </w:r>
      <w:r>
        <w:rPr>
          <w:rFonts w:hint="eastAsia"/>
          <w:sz w:val="24"/>
        </w:rPr>
        <w:t xml:space="preserve"> </w:t>
      </w:r>
      <w:r>
        <w:rPr>
          <w:sz w:val="24"/>
        </w:rPr>
        <w:t>bp</w:t>
      </w:r>
      <w:r>
        <w:rPr>
          <w:rFonts w:hint="eastAsia"/>
          <w:sz w:val="24"/>
        </w:rPr>
        <w:t>和</w:t>
      </w:r>
      <w:r>
        <w:rPr>
          <w:sz w:val="24"/>
        </w:rPr>
        <w:t>625~657bp</w:t>
      </w:r>
      <w:r>
        <w:rPr>
          <w:rFonts w:hint="eastAsia"/>
          <w:sz w:val="24"/>
        </w:rPr>
        <w:t>，</w:t>
      </w:r>
      <w:r>
        <w:rPr>
          <w:sz w:val="24"/>
        </w:rPr>
        <w:t>经BLAST分析</w:t>
      </w:r>
      <w:r>
        <w:rPr>
          <w:rFonts w:hint="eastAsia"/>
          <w:sz w:val="24"/>
        </w:rPr>
        <w:t>，与GenBank中曼氏裂头蚴的序列一致性</w:t>
      </w:r>
      <w:r>
        <w:rPr>
          <w:sz w:val="24"/>
        </w:rPr>
        <w:t xml:space="preserve">&gt;90%（GenBank </w:t>
      </w:r>
      <w:r>
        <w:rPr>
          <w:rFonts w:hint="eastAsia"/>
          <w:sz w:val="24"/>
        </w:rPr>
        <w:t>登录号</w:t>
      </w:r>
      <w:r>
        <w:rPr>
          <w:sz w:val="24"/>
        </w:rPr>
        <w:t>：MG762084、KY009916）</w:t>
      </w:r>
      <w:r>
        <w:rPr>
          <w:rFonts w:hint="eastAsia"/>
          <w:sz w:val="24"/>
        </w:rPr>
        <w:t>；系统发育分析显示，长三角地区分离的裂头蚴</w:t>
      </w:r>
      <w:r>
        <w:rPr>
          <w:i/>
          <w:sz w:val="24"/>
        </w:rPr>
        <w:t>cox</w:t>
      </w:r>
      <w:r>
        <w:rPr>
          <w:sz w:val="24"/>
        </w:rPr>
        <w:t>1</w:t>
      </w:r>
      <w:r>
        <w:rPr>
          <w:rFonts w:hint="eastAsia"/>
          <w:sz w:val="24"/>
        </w:rPr>
        <w:t>和</w:t>
      </w:r>
      <w:r>
        <w:rPr>
          <w:i/>
          <w:sz w:val="24"/>
        </w:rPr>
        <w:t>nad</w:t>
      </w:r>
      <w:r>
        <w:rPr>
          <w:sz w:val="24"/>
        </w:rPr>
        <w:t>1基因序列</w:t>
      </w:r>
      <w:r>
        <w:rPr>
          <w:rFonts w:hint="eastAsia"/>
          <w:sz w:val="24"/>
        </w:rPr>
        <w:t>与国内其他地区报道的曼氏跌宫绦虫裂头蚴（2022年前曾错误地判定为欧猥跌宫绦虫裂头蚴）在一个分枝上（图3-4）</w:t>
      </w:r>
      <w:r>
        <w:rPr>
          <w:sz w:val="24"/>
        </w:rPr>
        <w:t xml:space="preserve">。 </w:t>
      </w:r>
      <w:r>
        <w:rPr>
          <w:rFonts w:hint="eastAsia"/>
          <w:sz w:val="24"/>
        </w:rPr>
        <w:t>上述结果提示，上海及周边地区</w:t>
      </w:r>
      <w:r>
        <w:rPr>
          <w:sz w:val="24"/>
        </w:rPr>
        <w:t>市售黑斑蛙和泽陆蛙存在曼氏裂头蚴感染，</w:t>
      </w:r>
      <w:r>
        <w:rPr>
          <w:rFonts w:hint="eastAsia"/>
          <w:sz w:val="24"/>
        </w:rPr>
        <w:t>寄生部位主要在肌肉中，尤其是后腿肌肉，</w:t>
      </w:r>
      <w:r>
        <w:rPr>
          <w:sz w:val="24"/>
        </w:rPr>
        <w:t>人们</w:t>
      </w:r>
      <w:r>
        <w:rPr>
          <w:rFonts w:hint="eastAsia"/>
          <w:sz w:val="24"/>
        </w:rPr>
        <w:t>食用蛙肉时应注意</w:t>
      </w:r>
      <w:r>
        <w:rPr>
          <w:sz w:val="24"/>
        </w:rPr>
        <w:t>饮食安全。</w:t>
      </w:r>
    </w:p>
    <w:p w14:paraId="690BD09F">
      <w:pPr>
        <w:adjustRightInd w:val="0"/>
        <w:snapToGrid w:val="0"/>
        <w:spacing w:line="360" w:lineRule="auto"/>
        <w:rPr>
          <w:sz w:val="24"/>
        </w:rPr>
      </w:pPr>
    </w:p>
    <w:p w14:paraId="6C544C4C">
      <w:pPr>
        <w:adjustRightInd w:val="0"/>
        <w:snapToGrid w:val="0"/>
        <w:spacing w:line="360" w:lineRule="auto"/>
        <w:ind w:firstLine="422" w:firstLineChars="200"/>
        <w:jc w:val="center"/>
        <w:rPr>
          <w:b/>
          <w:szCs w:val="21"/>
        </w:rPr>
      </w:pPr>
      <w:r>
        <w:rPr>
          <w:rFonts w:hAnsi="宋体"/>
          <w:b/>
          <w:szCs w:val="21"/>
        </w:rPr>
        <w:t>表</w:t>
      </w:r>
      <w:r>
        <w:rPr>
          <w:rFonts w:hint="eastAsia" w:hAnsi="宋体"/>
          <w:b/>
          <w:szCs w:val="21"/>
        </w:rPr>
        <w:t>2</w:t>
      </w:r>
      <w:r>
        <w:rPr>
          <w:b/>
          <w:szCs w:val="21"/>
        </w:rPr>
        <w:t xml:space="preserve">  </w:t>
      </w:r>
      <w:r>
        <w:rPr>
          <w:rFonts w:hAnsi="宋体"/>
          <w:b/>
          <w:szCs w:val="21"/>
        </w:rPr>
        <w:t>不同种类蛙裂头蚴感染情况</w:t>
      </w:r>
    </w:p>
    <w:p w14:paraId="2BF78109">
      <w:pPr>
        <w:adjustRightInd w:val="0"/>
        <w:snapToGrid w:val="0"/>
        <w:spacing w:line="360" w:lineRule="auto"/>
        <w:ind w:firstLine="422" w:firstLineChars="200"/>
        <w:jc w:val="center"/>
        <w:rPr>
          <w:szCs w:val="21"/>
        </w:rPr>
      </w:pPr>
      <w:r>
        <w:rPr>
          <w:b/>
          <w:szCs w:val="21"/>
        </w:rPr>
        <w:t xml:space="preserve">Table </w:t>
      </w:r>
      <w:r>
        <w:rPr>
          <w:rFonts w:hint="eastAsia"/>
          <w:b/>
          <w:szCs w:val="21"/>
        </w:rPr>
        <w:t>2</w:t>
      </w:r>
      <w:r>
        <w:rPr>
          <w:b/>
          <w:szCs w:val="21"/>
        </w:rPr>
        <w:t xml:space="preserve"> </w:t>
      </w:r>
      <w:r>
        <w:rPr>
          <w:rFonts w:hint="eastAsia"/>
          <w:b/>
          <w:szCs w:val="21"/>
        </w:rPr>
        <w:t>P</w:t>
      </w:r>
      <w:r>
        <w:rPr>
          <w:b/>
          <w:szCs w:val="21"/>
        </w:rPr>
        <w:t xml:space="preserve">revalence of </w:t>
      </w:r>
      <w:r>
        <w:rPr>
          <w:b/>
          <w:i/>
          <w:szCs w:val="21"/>
        </w:rPr>
        <w:t>Spirometra</w:t>
      </w:r>
      <w:r>
        <w:rPr>
          <w:b/>
          <w:szCs w:val="21"/>
        </w:rPr>
        <w:t xml:space="preserve"> </w:t>
      </w:r>
      <w:r>
        <w:rPr>
          <w:rFonts w:hint="eastAsia"/>
          <w:b/>
          <w:szCs w:val="21"/>
        </w:rPr>
        <w:t>s</w:t>
      </w:r>
      <w:r>
        <w:rPr>
          <w:b/>
          <w:szCs w:val="21"/>
        </w:rPr>
        <w:t>pargan</w:t>
      </w:r>
      <w:r>
        <w:rPr>
          <w:rFonts w:hint="eastAsia"/>
          <w:b/>
          <w:szCs w:val="21"/>
        </w:rPr>
        <w:t>um</w:t>
      </w:r>
      <w:r>
        <w:rPr>
          <w:b/>
          <w:i/>
          <w:szCs w:val="21"/>
        </w:rPr>
        <w:t xml:space="preserve"> </w:t>
      </w:r>
      <w:r>
        <w:rPr>
          <w:b/>
          <w:szCs w:val="21"/>
        </w:rPr>
        <w:t xml:space="preserve">in 5 species of </w:t>
      </w:r>
      <w:r>
        <w:rPr>
          <w:rFonts w:hint="eastAsia"/>
          <w:b/>
          <w:szCs w:val="21"/>
        </w:rPr>
        <w:t>Anura</w:t>
      </w:r>
    </w:p>
    <w:tbl>
      <w:tblPr>
        <w:tblStyle w:val="7"/>
        <w:tblW w:w="8633" w:type="dxa"/>
        <w:jc w:val="center"/>
        <w:tblBorders>
          <w:top w:val="single" w:color="000000" w:sz="4" w:space="0"/>
          <w:left w:val="none" w:color="auto" w:sz="0" w:space="0"/>
          <w:bottom w:val="single" w:color="000000"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210"/>
        <w:gridCol w:w="882"/>
        <w:gridCol w:w="1409"/>
        <w:gridCol w:w="1767"/>
        <w:gridCol w:w="1232"/>
        <w:gridCol w:w="1133"/>
      </w:tblGrid>
      <w:tr w14:paraId="0F20A371">
        <w:tblPrEx>
          <w:tblBorders>
            <w:top w:val="single" w:color="000000" w:sz="4" w:space="0"/>
            <w:left w:val="none" w:color="auto" w:sz="0" w:space="0"/>
            <w:bottom w:val="single" w:color="000000"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9" w:hRule="atLeast"/>
          <w:jc w:val="center"/>
        </w:trPr>
        <w:tc>
          <w:tcPr>
            <w:tcW w:w="2429" w:type="dxa"/>
            <w:tcBorders>
              <w:top w:val="single" w:color="000000" w:sz="4" w:space="0"/>
              <w:bottom w:val="single" w:color="auto" w:sz="4" w:space="0"/>
            </w:tcBorders>
            <w:shd w:val="clear" w:color="auto" w:fill="auto"/>
            <w:vAlign w:val="center"/>
          </w:tcPr>
          <w:p w14:paraId="2CACB9EA">
            <w:pPr>
              <w:jc w:val="center"/>
              <w:rPr>
                <w:b/>
                <w:szCs w:val="21"/>
              </w:rPr>
            </w:pPr>
            <w:bookmarkStart w:id="1" w:name="OLE_LINK21"/>
            <w:r>
              <w:rPr>
                <w:rFonts w:hint="eastAsia"/>
                <w:b/>
                <w:szCs w:val="21"/>
              </w:rPr>
              <w:t>蛙的种类</w:t>
            </w:r>
          </w:p>
          <w:p w14:paraId="74FCD12A">
            <w:pPr>
              <w:jc w:val="center"/>
              <w:rPr>
                <w:b/>
                <w:szCs w:val="21"/>
              </w:rPr>
            </w:pPr>
            <w:r>
              <w:rPr>
                <w:rFonts w:hint="eastAsia"/>
                <w:b/>
                <w:szCs w:val="21"/>
              </w:rPr>
              <w:t>Species</w:t>
            </w:r>
            <w:r>
              <w:rPr>
                <w:b/>
                <w:szCs w:val="21"/>
              </w:rPr>
              <w:t xml:space="preserve"> of Anura</w:t>
            </w:r>
          </w:p>
        </w:tc>
        <w:tc>
          <w:tcPr>
            <w:tcW w:w="657" w:type="dxa"/>
            <w:tcBorders>
              <w:top w:val="single" w:color="000000" w:sz="4" w:space="0"/>
              <w:bottom w:val="single" w:color="auto" w:sz="4" w:space="0"/>
            </w:tcBorders>
            <w:shd w:val="clear" w:color="auto" w:fill="auto"/>
            <w:vAlign w:val="center"/>
          </w:tcPr>
          <w:p w14:paraId="134BA926">
            <w:pPr>
              <w:jc w:val="center"/>
              <w:rPr>
                <w:b/>
                <w:szCs w:val="21"/>
              </w:rPr>
            </w:pPr>
            <w:r>
              <w:rPr>
                <w:rFonts w:hint="eastAsia"/>
                <w:b/>
                <w:szCs w:val="21"/>
              </w:rPr>
              <w:t>样品数量No. Sample</w:t>
            </w:r>
          </w:p>
        </w:tc>
        <w:tc>
          <w:tcPr>
            <w:tcW w:w="1478" w:type="dxa"/>
            <w:tcBorders>
              <w:top w:val="single" w:color="000000" w:sz="4" w:space="0"/>
              <w:bottom w:val="single" w:color="auto" w:sz="4" w:space="0"/>
            </w:tcBorders>
            <w:shd w:val="clear" w:color="auto" w:fill="auto"/>
            <w:vAlign w:val="center"/>
          </w:tcPr>
          <w:p w14:paraId="52C905DB">
            <w:pPr>
              <w:jc w:val="center"/>
              <w:rPr>
                <w:b/>
                <w:szCs w:val="21"/>
              </w:rPr>
            </w:pPr>
            <w:r>
              <w:rPr>
                <w:rFonts w:hint="eastAsia"/>
                <w:b/>
                <w:szCs w:val="21"/>
              </w:rPr>
              <w:t xml:space="preserve">阳性数（阳性率）No. Positive </w:t>
            </w:r>
          </w:p>
          <w:p w14:paraId="5921EE5E">
            <w:pPr>
              <w:jc w:val="center"/>
              <w:rPr>
                <w:b/>
                <w:szCs w:val="21"/>
              </w:rPr>
            </w:pPr>
            <w:r>
              <w:rPr>
                <w:rFonts w:hint="eastAsia"/>
                <w:b/>
                <w:szCs w:val="21"/>
              </w:rPr>
              <w:t>(Positive rate)</w:t>
            </w:r>
          </w:p>
        </w:tc>
        <w:tc>
          <w:tcPr>
            <w:tcW w:w="1801" w:type="dxa"/>
            <w:tcBorders>
              <w:top w:val="single" w:color="000000" w:sz="4" w:space="0"/>
              <w:bottom w:val="single" w:color="auto" w:sz="4" w:space="0"/>
            </w:tcBorders>
            <w:shd w:val="clear" w:color="auto" w:fill="auto"/>
          </w:tcPr>
          <w:p w14:paraId="23D6775B">
            <w:pPr>
              <w:jc w:val="center"/>
              <w:rPr>
                <w:b/>
                <w:szCs w:val="21"/>
              </w:rPr>
            </w:pPr>
            <w:r>
              <w:rPr>
                <w:rFonts w:hint="eastAsia"/>
                <w:b/>
                <w:szCs w:val="21"/>
              </w:rPr>
              <w:t>感染强度（每只蛙的感染数）Infection intensity</w:t>
            </w:r>
          </w:p>
          <w:p w14:paraId="3663525B">
            <w:pPr>
              <w:jc w:val="center"/>
              <w:rPr>
                <w:b/>
                <w:szCs w:val="21"/>
              </w:rPr>
            </w:pPr>
            <w:r>
              <w:rPr>
                <w:rFonts w:hint="eastAsia"/>
                <w:b/>
                <w:szCs w:val="21"/>
              </w:rPr>
              <w:t>(Spargana/frog)</w:t>
            </w:r>
          </w:p>
        </w:tc>
        <w:tc>
          <w:tcPr>
            <w:tcW w:w="1134" w:type="dxa"/>
            <w:tcBorders>
              <w:top w:val="single" w:color="000000" w:sz="4" w:space="0"/>
              <w:bottom w:val="single" w:color="auto" w:sz="4" w:space="0"/>
            </w:tcBorders>
            <w:shd w:val="clear" w:color="auto" w:fill="auto"/>
            <w:vAlign w:val="center"/>
          </w:tcPr>
          <w:p w14:paraId="21F138E7">
            <w:pPr>
              <w:jc w:val="center"/>
              <w:rPr>
                <w:b/>
                <w:szCs w:val="21"/>
              </w:rPr>
            </w:pPr>
            <w:r>
              <w:rPr>
                <w:rFonts w:hint="eastAsia"/>
                <w:b/>
                <w:szCs w:val="21"/>
              </w:rPr>
              <w:t>裂头蚴总数No. s</w:t>
            </w:r>
            <w:r>
              <w:rPr>
                <w:b/>
                <w:szCs w:val="21"/>
              </w:rPr>
              <w:t>pargan</w:t>
            </w:r>
            <w:r>
              <w:rPr>
                <w:rFonts w:hint="eastAsia"/>
                <w:b/>
                <w:szCs w:val="21"/>
              </w:rPr>
              <w:t>um</w:t>
            </w:r>
          </w:p>
        </w:tc>
        <w:tc>
          <w:tcPr>
            <w:tcW w:w="1134" w:type="dxa"/>
            <w:tcBorders>
              <w:top w:val="single" w:color="000000" w:sz="4" w:space="0"/>
              <w:bottom w:val="single" w:color="auto" w:sz="4" w:space="0"/>
            </w:tcBorders>
            <w:shd w:val="clear" w:color="auto" w:fill="auto"/>
            <w:vAlign w:val="center"/>
          </w:tcPr>
          <w:p w14:paraId="7C4B9461">
            <w:pPr>
              <w:jc w:val="center"/>
              <w:rPr>
                <w:b/>
                <w:szCs w:val="21"/>
              </w:rPr>
            </w:pPr>
            <w:r>
              <w:rPr>
                <w:rFonts w:hint="eastAsia"/>
                <w:b/>
                <w:szCs w:val="21"/>
              </w:rPr>
              <w:t>95%置信区间9</w:t>
            </w:r>
            <w:r>
              <w:rPr>
                <w:b/>
                <w:szCs w:val="21"/>
              </w:rPr>
              <w:t>5%</w:t>
            </w:r>
            <w:r>
              <w:rPr>
                <w:rFonts w:hint="eastAsia"/>
                <w:b/>
                <w:szCs w:val="21"/>
              </w:rPr>
              <w:t xml:space="preserve"> </w:t>
            </w:r>
            <w:r>
              <w:rPr>
                <w:b/>
                <w:szCs w:val="21"/>
              </w:rPr>
              <w:t>CI</w:t>
            </w:r>
          </w:p>
        </w:tc>
      </w:tr>
      <w:tr w14:paraId="511AA84D">
        <w:tblPrEx>
          <w:tblBorders>
            <w:top w:val="single" w:color="000000" w:sz="4" w:space="0"/>
            <w:left w:val="none" w:color="auto" w:sz="0" w:space="0"/>
            <w:bottom w:val="single" w:color="000000"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5" w:hRule="atLeast"/>
          <w:jc w:val="center"/>
        </w:trPr>
        <w:tc>
          <w:tcPr>
            <w:tcW w:w="2429" w:type="dxa"/>
            <w:tcBorders>
              <w:top w:val="single" w:color="auto" w:sz="4" w:space="0"/>
            </w:tcBorders>
            <w:shd w:val="clear" w:color="auto" w:fill="auto"/>
            <w:vAlign w:val="center"/>
          </w:tcPr>
          <w:p w14:paraId="1E0729A4">
            <w:pPr>
              <w:jc w:val="center"/>
              <w:rPr>
                <w:i/>
                <w:iCs/>
                <w:szCs w:val="21"/>
              </w:rPr>
            </w:pPr>
            <w:r>
              <w:rPr>
                <w:szCs w:val="21"/>
              </w:rPr>
              <w:t>泽陆蛙</w:t>
            </w:r>
            <w:r>
              <w:rPr>
                <w:i/>
                <w:iCs/>
                <w:szCs w:val="21"/>
              </w:rPr>
              <w:t>Fejervarya</w:t>
            </w:r>
            <w:r>
              <w:rPr>
                <w:rFonts w:hint="eastAsia"/>
                <w:i/>
                <w:iCs/>
                <w:szCs w:val="21"/>
              </w:rPr>
              <w:t xml:space="preserve"> </w:t>
            </w:r>
            <w:r>
              <w:rPr>
                <w:i/>
                <w:iCs/>
                <w:szCs w:val="21"/>
              </w:rPr>
              <w:t>multistriata</w:t>
            </w:r>
          </w:p>
        </w:tc>
        <w:tc>
          <w:tcPr>
            <w:tcW w:w="657" w:type="dxa"/>
            <w:tcBorders>
              <w:top w:val="single" w:color="auto" w:sz="4" w:space="0"/>
            </w:tcBorders>
            <w:shd w:val="clear" w:color="auto" w:fill="auto"/>
            <w:vAlign w:val="center"/>
          </w:tcPr>
          <w:p w14:paraId="75F94E86">
            <w:pPr>
              <w:jc w:val="center"/>
              <w:rPr>
                <w:szCs w:val="21"/>
              </w:rPr>
            </w:pPr>
            <w:r>
              <w:rPr>
                <w:rFonts w:hint="eastAsia"/>
                <w:szCs w:val="21"/>
              </w:rPr>
              <w:t>9</w:t>
            </w:r>
            <w:r>
              <w:rPr>
                <w:szCs w:val="21"/>
              </w:rPr>
              <w:t>5</w:t>
            </w:r>
          </w:p>
        </w:tc>
        <w:tc>
          <w:tcPr>
            <w:tcW w:w="1478" w:type="dxa"/>
            <w:tcBorders>
              <w:top w:val="single" w:color="auto" w:sz="4" w:space="0"/>
            </w:tcBorders>
            <w:shd w:val="clear" w:color="auto" w:fill="auto"/>
            <w:vAlign w:val="center"/>
          </w:tcPr>
          <w:p w14:paraId="697DFF05">
            <w:pPr>
              <w:jc w:val="center"/>
              <w:rPr>
                <w:szCs w:val="21"/>
              </w:rPr>
            </w:pPr>
            <w:r>
              <w:rPr>
                <w:rFonts w:hint="eastAsia"/>
                <w:szCs w:val="21"/>
              </w:rPr>
              <w:t xml:space="preserve"> </w:t>
            </w:r>
            <w:r>
              <w:rPr>
                <w:szCs w:val="21"/>
              </w:rPr>
              <w:t>6(6.32%)</w:t>
            </w:r>
            <w:r>
              <w:rPr>
                <w:szCs w:val="21"/>
                <w:vertAlign w:val="superscript"/>
              </w:rPr>
              <w:t xml:space="preserve"> ac</w:t>
            </w:r>
          </w:p>
        </w:tc>
        <w:tc>
          <w:tcPr>
            <w:tcW w:w="1801" w:type="dxa"/>
            <w:tcBorders>
              <w:top w:val="single" w:color="auto" w:sz="4" w:space="0"/>
            </w:tcBorders>
            <w:shd w:val="clear" w:color="auto" w:fill="auto"/>
          </w:tcPr>
          <w:p w14:paraId="2A1AFD7E">
            <w:pPr>
              <w:jc w:val="center"/>
              <w:rPr>
                <w:szCs w:val="21"/>
              </w:rPr>
            </w:pPr>
            <w:r>
              <w:rPr>
                <w:rFonts w:hint="eastAsia"/>
                <w:szCs w:val="21"/>
              </w:rPr>
              <w:t>1</w:t>
            </w:r>
            <w:r>
              <w:rPr>
                <w:szCs w:val="21"/>
              </w:rPr>
              <w:t>-3</w:t>
            </w:r>
          </w:p>
        </w:tc>
        <w:tc>
          <w:tcPr>
            <w:tcW w:w="1134" w:type="dxa"/>
            <w:tcBorders>
              <w:top w:val="single" w:color="auto" w:sz="4" w:space="0"/>
            </w:tcBorders>
            <w:shd w:val="clear" w:color="auto" w:fill="auto"/>
          </w:tcPr>
          <w:p w14:paraId="7792AC39">
            <w:pPr>
              <w:jc w:val="center"/>
              <w:rPr>
                <w:szCs w:val="21"/>
              </w:rPr>
            </w:pPr>
            <w:r>
              <w:rPr>
                <w:rFonts w:hint="eastAsia"/>
                <w:szCs w:val="21"/>
              </w:rPr>
              <w:t>9</w:t>
            </w:r>
          </w:p>
        </w:tc>
        <w:tc>
          <w:tcPr>
            <w:tcW w:w="1134" w:type="dxa"/>
            <w:tcBorders>
              <w:top w:val="single" w:color="auto" w:sz="4" w:space="0"/>
            </w:tcBorders>
            <w:shd w:val="clear" w:color="auto" w:fill="auto"/>
          </w:tcPr>
          <w:p w14:paraId="4FB323A6">
            <w:pPr>
              <w:jc w:val="center"/>
              <w:rPr>
                <w:szCs w:val="21"/>
              </w:rPr>
            </w:pPr>
            <w:r>
              <w:rPr>
                <w:rFonts w:hint="eastAsia"/>
                <w:szCs w:val="21"/>
              </w:rPr>
              <w:t>2</w:t>
            </w:r>
            <w:r>
              <w:rPr>
                <w:szCs w:val="21"/>
              </w:rPr>
              <w:t>.35-13.24</w:t>
            </w:r>
          </w:p>
        </w:tc>
      </w:tr>
      <w:tr w14:paraId="21F5716C">
        <w:tblPrEx>
          <w:tblBorders>
            <w:top w:val="single" w:color="000000" w:sz="4" w:space="0"/>
            <w:left w:val="none" w:color="auto" w:sz="0" w:space="0"/>
            <w:bottom w:val="single" w:color="000000"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5" w:hRule="atLeast"/>
          <w:jc w:val="center"/>
        </w:trPr>
        <w:tc>
          <w:tcPr>
            <w:tcW w:w="2429" w:type="dxa"/>
            <w:shd w:val="clear" w:color="auto" w:fill="auto"/>
            <w:vAlign w:val="center"/>
          </w:tcPr>
          <w:p w14:paraId="7A04488D">
            <w:pPr>
              <w:jc w:val="center"/>
              <w:rPr>
                <w:i/>
                <w:iCs/>
                <w:szCs w:val="21"/>
              </w:rPr>
            </w:pPr>
            <w:r>
              <w:rPr>
                <w:szCs w:val="21"/>
              </w:rPr>
              <w:t>黑斑蛙</w:t>
            </w:r>
            <w:r>
              <w:rPr>
                <w:i/>
                <w:iCs/>
                <w:szCs w:val="21"/>
              </w:rPr>
              <w:t>Rana nigromaculata</w:t>
            </w:r>
          </w:p>
        </w:tc>
        <w:tc>
          <w:tcPr>
            <w:tcW w:w="657" w:type="dxa"/>
            <w:shd w:val="clear" w:color="auto" w:fill="auto"/>
            <w:vAlign w:val="center"/>
          </w:tcPr>
          <w:p w14:paraId="619A3EF5">
            <w:pPr>
              <w:jc w:val="center"/>
              <w:rPr>
                <w:szCs w:val="21"/>
              </w:rPr>
            </w:pPr>
            <w:r>
              <w:rPr>
                <w:szCs w:val="21"/>
              </w:rPr>
              <w:t>168</w:t>
            </w:r>
          </w:p>
        </w:tc>
        <w:tc>
          <w:tcPr>
            <w:tcW w:w="1478" w:type="dxa"/>
            <w:shd w:val="clear" w:color="auto" w:fill="auto"/>
            <w:vAlign w:val="center"/>
          </w:tcPr>
          <w:p w14:paraId="3BFC3B81">
            <w:pPr>
              <w:jc w:val="center"/>
              <w:rPr>
                <w:szCs w:val="21"/>
              </w:rPr>
            </w:pPr>
            <w:r>
              <w:rPr>
                <w:szCs w:val="21"/>
              </w:rPr>
              <w:t>13(7.74%)</w:t>
            </w:r>
            <w:r>
              <w:rPr>
                <w:szCs w:val="21"/>
                <w:vertAlign w:val="superscript"/>
              </w:rPr>
              <w:t>a</w:t>
            </w:r>
          </w:p>
        </w:tc>
        <w:tc>
          <w:tcPr>
            <w:tcW w:w="1801" w:type="dxa"/>
            <w:shd w:val="clear" w:color="auto" w:fill="auto"/>
          </w:tcPr>
          <w:p w14:paraId="01D8A477">
            <w:pPr>
              <w:jc w:val="center"/>
              <w:rPr>
                <w:szCs w:val="21"/>
              </w:rPr>
            </w:pPr>
            <w:r>
              <w:rPr>
                <w:rFonts w:hint="eastAsia"/>
                <w:szCs w:val="21"/>
              </w:rPr>
              <w:t>1</w:t>
            </w:r>
            <w:r>
              <w:rPr>
                <w:szCs w:val="21"/>
              </w:rPr>
              <w:t>-11</w:t>
            </w:r>
          </w:p>
        </w:tc>
        <w:tc>
          <w:tcPr>
            <w:tcW w:w="1134" w:type="dxa"/>
            <w:shd w:val="clear" w:color="auto" w:fill="auto"/>
          </w:tcPr>
          <w:p w14:paraId="0F370D6D">
            <w:pPr>
              <w:jc w:val="center"/>
              <w:rPr>
                <w:szCs w:val="21"/>
              </w:rPr>
            </w:pPr>
            <w:r>
              <w:rPr>
                <w:rFonts w:hint="eastAsia"/>
                <w:szCs w:val="21"/>
              </w:rPr>
              <w:t>3</w:t>
            </w:r>
            <w:r>
              <w:rPr>
                <w:szCs w:val="21"/>
              </w:rPr>
              <w:t>0</w:t>
            </w:r>
          </w:p>
        </w:tc>
        <w:tc>
          <w:tcPr>
            <w:tcW w:w="1134" w:type="dxa"/>
            <w:shd w:val="clear" w:color="auto" w:fill="auto"/>
          </w:tcPr>
          <w:p w14:paraId="577DD031">
            <w:pPr>
              <w:jc w:val="center"/>
              <w:rPr>
                <w:szCs w:val="21"/>
              </w:rPr>
            </w:pPr>
            <w:r>
              <w:rPr>
                <w:szCs w:val="21"/>
              </w:rPr>
              <w:t>4.18-12.87</w:t>
            </w:r>
          </w:p>
        </w:tc>
      </w:tr>
      <w:tr w14:paraId="7238F7F2">
        <w:tblPrEx>
          <w:tblBorders>
            <w:top w:val="single" w:color="000000" w:sz="4" w:space="0"/>
            <w:left w:val="none" w:color="auto" w:sz="0" w:space="0"/>
            <w:bottom w:val="single" w:color="000000"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5" w:hRule="atLeast"/>
          <w:jc w:val="center"/>
        </w:trPr>
        <w:tc>
          <w:tcPr>
            <w:tcW w:w="2429" w:type="dxa"/>
            <w:shd w:val="clear" w:color="auto" w:fill="auto"/>
            <w:vAlign w:val="center"/>
          </w:tcPr>
          <w:p w14:paraId="7D4644E6">
            <w:pPr>
              <w:jc w:val="center"/>
              <w:rPr>
                <w:i/>
                <w:iCs/>
                <w:szCs w:val="21"/>
              </w:rPr>
            </w:pPr>
            <w:r>
              <w:rPr>
                <w:szCs w:val="21"/>
              </w:rPr>
              <w:t>蟾蜍</w:t>
            </w:r>
            <w:r>
              <w:rPr>
                <w:i/>
                <w:iCs/>
                <w:szCs w:val="21"/>
              </w:rPr>
              <w:t>Bufo</w:t>
            </w:r>
            <w:r>
              <w:rPr>
                <w:rFonts w:hint="eastAsia"/>
                <w:i/>
                <w:iCs/>
                <w:szCs w:val="21"/>
              </w:rPr>
              <w:t xml:space="preserve"> </w:t>
            </w:r>
            <w:r>
              <w:rPr>
                <w:i/>
                <w:iCs/>
                <w:szCs w:val="21"/>
              </w:rPr>
              <w:t>gargarizans</w:t>
            </w:r>
          </w:p>
        </w:tc>
        <w:tc>
          <w:tcPr>
            <w:tcW w:w="657" w:type="dxa"/>
            <w:shd w:val="clear" w:color="auto" w:fill="auto"/>
            <w:vAlign w:val="center"/>
          </w:tcPr>
          <w:p w14:paraId="4EEED83D">
            <w:pPr>
              <w:jc w:val="center"/>
              <w:rPr>
                <w:szCs w:val="21"/>
              </w:rPr>
            </w:pPr>
            <w:r>
              <w:rPr>
                <w:rFonts w:hint="eastAsia"/>
                <w:szCs w:val="21"/>
              </w:rPr>
              <w:t>5</w:t>
            </w:r>
            <w:r>
              <w:rPr>
                <w:szCs w:val="21"/>
              </w:rPr>
              <w:t>6</w:t>
            </w:r>
          </w:p>
        </w:tc>
        <w:tc>
          <w:tcPr>
            <w:tcW w:w="1478" w:type="dxa"/>
            <w:shd w:val="clear" w:color="auto" w:fill="auto"/>
            <w:vAlign w:val="center"/>
          </w:tcPr>
          <w:p w14:paraId="69DB0F19">
            <w:pPr>
              <w:jc w:val="center"/>
              <w:rPr>
                <w:szCs w:val="21"/>
              </w:rPr>
            </w:pPr>
            <w:r>
              <w:rPr>
                <w:rFonts w:hint="eastAsia"/>
                <w:szCs w:val="21"/>
              </w:rPr>
              <w:t>0(0)</w:t>
            </w:r>
            <w:r>
              <w:rPr>
                <w:szCs w:val="21"/>
                <w:vertAlign w:val="superscript"/>
              </w:rPr>
              <w:t>bc</w:t>
            </w:r>
          </w:p>
        </w:tc>
        <w:tc>
          <w:tcPr>
            <w:tcW w:w="1801" w:type="dxa"/>
            <w:shd w:val="clear" w:color="auto" w:fill="auto"/>
          </w:tcPr>
          <w:p w14:paraId="54815EA2">
            <w:pPr>
              <w:jc w:val="center"/>
              <w:rPr>
                <w:szCs w:val="21"/>
              </w:rPr>
            </w:pPr>
            <w:r>
              <w:rPr>
                <w:rFonts w:hint="eastAsia"/>
                <w:szCs w:val="21"/>
              </w:rPr>
              <w:t>0</w:t>
            </w:r>
          </w:p>
        </w:tc>
        <w:tc>
          <w:tcPr>
            <w:tcW w:w="1134" w:type="dxa"/>
            <w:shd w:val="clear" w:color="auto" w:fill="auto"/>
          </w:tcPr>
          <w:p w14:paraId="70921175">
            <w:pPr>
              <w:jc w:val="center"/>
              <w:rPr>
                <w:szCs w:val="21"/>
              </w:rPr>
            </w:pPr>
            <w:r>
              <w:rPr>
                <w:rFonts w:hint="eastAsia"/>
                <w:szCs w:val="21"/>
              </w:rPr>
              <w:t>0</w:t>
            </w:r>
          </w:p>
        </w:tc>
        <w:tc>
          <w:tcPr>
            <w:tcW w:w="1134" w:type="dxa"/>
            <w:shd w:val="clear" w:color="auto" w:fill="auto"/>
          </w:tcPr>
          <w:p w14:paraId="1F09B84A">
            <w:pPr>
              <w:jc w:val="center"/>
              <w:rPr>
                <w:szCs w:val="21"/>
              </w:rPr>
            </w:pPr>
            <w:r>
              <w:rPr>
                <w:rFonts w:hint="eastAsia"/>
                <w:szCs w:val="21"/>
              </w:rPr>
              <w:t>0</w:t>
            </w:r>
            <w:r>
              <w:rPr>
                <w:szCs w:val="21"/>
              </w:rPr>
              <w:t>-6.38</w:t>
            </w:r>
          </w:p>
        </w:tc>
      </w:tr>
      <w:tr w14:paraId="0E62448A">
        <w:tblPrEx>
          <w:tblBorders>
            <w:top w:val="single" w:color="000000" w:sz="4" w:space="0"/>
            <w:left w:val="none" w:color="auto" w:sz="0" w:space="0"/>
            <w:bottom w:val="single" w:color="000000"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5" w:hRule="atLeast"/>
          <w:jc w:val="center"/>
        </w:trPr>
        <w:tc>
          <w:tcPr>
            <w:tcW w:w="2429" w:type="dxa"/>
            <w:shd w:val="clear" w:color="auto" w:fill="auto"/>
            <w:vAlign w:val="center"/>
          </w:tcPr>
          <w:p w14:paraId="19EA8600">
            <w:pPr>
              <w:jc w:val="center"/>
              <w:rPr>
                <w:i/>
                <w:iCs/>
                <w:szCs w:val="21"/>
              </w:rPr>
            </w:pPr>
            <w:r>
              <w:rPr>
                <w:rFonts w:hint="eastAsia"/>
                <w:i/>
                <w:iCs/>
                <w:szCs w:val="21"/>
              </w:rPr>
              <w:t>Rana spinosa</w:t>
            </w:r>
          </w:p>
        </w:tc>
        <w:tc>
          <w:tcPr>
            <w:tcW w:w="657" w:type="dxa"/>
            <w:shd w:val="clear" w:color="auto" w:fill="auto"/>
            <w:vAlign w:val="center"/>
          </w:tcPr>
          <w:p w14:paraId="0900D252">
            <w:pPr>
              <w:jc w:val="center"/>
              <w:rPr>
                <w:szCs w:val="21"/>
              </w:rPr>
            </w:pPr>
            <w:r>
              <w:rPr>
                <w:rFonts w:hint="eastAsia"/>
                <w:szCs w:val="21"/>
              </w:rPr>
              <w:t>4</w:t>
            </w:r>
            <w:r>
              <w:rPr>
                <w:szCs w:val="21"/>
              </w:rPr>
              <w:t>1</w:t>
            </w:r>
          </w:p>
        </w:tc>
        <w:tc>
          <w:tcPr>
            <w:tcW w:w="1478" w:type="dxa"/>
            <w:shd w:val="clear" w:color="auto" w:fill="auto"/>
            <w:vAlign w:val="center"/>
          </w:tcPr>
          <w:p w14:paraId="4C1953CD">
            <w:pPr>
              <w:jc w:val="center"/>
              <w:rPr>
                <w:szCs w:val="21"/>
              </w:rPr>
            </w:pPr>
            <w:r>
              <w:rPr>
                <w:rFonts w:hint="eastAsia"/>
                <w:szCs w:val="21"/>
              </w:rPr>
              <w:t>0(0)</w:t>
            </w:r>
            <w:r>
              <w:rPr>
                <w:szCs w:val="21"/>
                <w:vertAlign w:val="superscript"/>
              </w:rPr>
              <w:t>ac</w:t>
            </w:r>
          </w:p>
        </w:tc>
        <w:tc>
          <w:tcPr>
            <w:tcW w:w="1801" w:type="dxa"/>
            <w:shd w:val="clear" w:color="auto" w:fill="auto"/>
          </w:tcPr>
          <w:p w14:paraId="763E79DF">
            <w:pPr>
              <w:jc w:val="center"/>
              <w:rPr>
                <w:szCs w:val="21"/>
              </w:rPr>
            </w:pPr>
            <w:r>
              <w:rPr>
                <w:rFonts w:hint="eastAsia"/>
                <w:szCs w:val="21"/>
              </w:rPr>
              <w:t>0</w:t>
            </w:r>
          </w:p>
        </w:tc>
        <w:tc>
          <w:tcPr>
            <w:tcW w:w="1134" w:type="dxa"/>
            <w:shd w:val="clear" w:color="auto" w:fill="auto"/>
          </w:tcPr>
          <w:p w14:paraId="598D6D46">
            <w:pPr>
              <w:jc w:val="center"/>
              <w:rPr>
                <w:szCs w:val="21"/>
              </w:rPr>
            </w:pPr>
            <w:r>
              <w:rPr>
                <w:rFonts w:hint="eastAsia"/>
                <w:szCs w:val="21"/>
              </w:rPr>
              <w:t>0</w:t>
            </w:r>
          </w:p>
        </w:tc>
        <w:tc>
          <w:tcPr>
            <w:tcW w:w="1134" w:type="dxa"/>
            <w:shd w:val="clear" w:color="auto" w:fill="auto"/>
          </w:tcPr>
          <w:p w14:paraId="264027D8">
            <w:pPr>
              <w:jc w:val="center"/>
              <w:rPr>
                <w:szCs w:val="21"/>
              </w:rPr>
            </w:pPr>
            <w:r>
              <w:rPr>
                <w:rFonts w:hint="eastAsia"/>
                <w:szCs w:val="21"/>
              </w:rPr>
              <w:t>0</w:t>
            </w:r>
            <w:r>
              <w:rPr>
                <w:szCs w:val="21"/>
              </w:rPr>
              <w:t>-8.60</w:t>
            </w:r>
          </w:p>
        </w:tc>
      </w:tr>
      <w:tr w14:paraId="3F97FB3C">
        <w:tblPrEx>
          <w:tblBorders>
            <w:top w:val="single" w:color="000000" w:sz="4" w:space="0"/>
            <w:left w:val="none" w:color="auto" w:sz="0" w:space="0"/>
            <w:bottom w:val="single" w:color="000000"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5" w:hRule="atLeast"/>
          <w:jc w:val="center"/>
        </w:trPr>
        <w:tc>
          <w:tcPr>
            <w:tcW w:w="2429" w:type="dxa"/>
            <w:shd w:val="clear" w:color="auto" w:fill="auto"/>
            <w:vAlign w:val="center"/>
          </w:tcPr>
          <w:p w14:paraId="421BE5EE">
            <w:pPr>
              <w:jc w:val="center"/>
              <w:rPr>
                <w:i/>
                <w:iCs/>
                <w:szCs w:val="21"/>
              </w:rPr>
            </w:pPr>
            <w:r>
              <w:rPr>
                <w:szCs w:val="21"/>
              </w:rPr>
              <w:t>石蛙</w:t>
            </w:r>
            <w:r>
              <w:rPr>
                <w:i/>
                <w:iCs/>
                <w:szCs w:val="21"/>
              </w:rPr>
              <w:t>Lithobates</w:t>
            </w:r>
            <w:r>
              <w:rPr>
                <w:rFonts w:hint="eastAsia"/>
                <w:i/>
                <w:iCs/>
                <w:szCs w:val="21"/>
              </w:rPr>
              <w:t xml:space="preserve"> </w:t>
            </w:r>
            <w:r>
              <w:rPr>
                <w:i/>
                <w:iCs/>
                <w:szCs w:val="21"/>
              </w:rPr>
              <w:t>catesbeiana</w:t>
            </w:r>
          </w:p>
        </w:tc>
        <w:tc>
          <w:tcPr>
            <w:tcW w:w="657" w:type="dxa"/>
            <w:shd w:val="clear" w:color="auto" w:fill="auto"/>
            <w:vAlign w:val="center"/>
          </w:tcPr>
          <w:p w14:paraId="0CF29E05">
            <w:pPr>
              <w:jc w:val="center"/>
              <w:rPr>
                <w:szCs w:val="21"/>
              </w:rPr>
            </w:pPr>
            <w:r>
              <w:rPr>
                <w:rFonts w:hint="eastAsia"/>
                <w:szCs w:val="21"/>
              </w:rPr>
              <w:t>2</w:t>
            </w:r>
            <w:r>
              <w:rPr>
                <w:szCs w:val="21"/>
              </w:rPr>
              <w:t>6</w:t>
            </w:r>
          </w:p>
        </w:tc>
        <w:tc>
          <w:tcPr>
            <w:tcW w:w="1478" w:type="dxa"/>
            <w:shd w:val="clear" w:color="auto" w:fill="auto"/>
            <w:vAlign w:val="center"/>
          </w:tcPr>
          <w:p w14:paraId="0367EE3B">
            <w:pPr>
              <w:jc w:val="center"/>
              <w:rPr>
                <w:szCs w:val="21"/>
              </w:rPr>
            </w:pPr>
            <w:r>
              <w:rPr>
                <w:rFonts w:hint="eastAsia"/>
                <w:szCs w:val="21"/>
              </w:rPr>
              <w:t>0(0)</w:t>
            </w:r>
            <w:r>
              <w:rPr>
                <w:szCs w:val="21"/>
                <w:vertAlign w:val="superscript"/>
              </w:rPr>
              <w:t>ac</w:t>
            </w:r>
          </w:p>
        </w:tc>
        <w:tc>
          <w:tcPr>
            <w:tcW w:w="1801" w:type="dxa"/>
            <w:shd w:val="clear" w:color="auto" w:fill="auto"/>
          </w:tcPr>
          <w:p w14:paraId="525D6568">
            <w:pPr>
              <w:jc w:val="center"/>
              <w:rPr>
                <w:szCs w:val="21"/>
              </w:rPr>
            </w:pPr>
            <w:r>
              <w:rPr>
                <w:rFonts w:hint="eastAsia"/>
                <w:szCs w:val="21"/>
              </w:rPr>
              <w:t>0</w:t>
            </w:r>
          </w:p>
        </w:tc>
        <w:tc>
          <w:tcPr>
            <w:tcW w:w="1134" w:type="dxa"/>
            <w:shd w:val="clear" w:color="auto" w:fill="auto"/>
          </w:tcPr>
          <w:p w14:paraId="0811FC37">
            <w:pPr>
              <w:jc w:val="center"/>
              <w:rPr>
                <w:szCs w:val="21"/>
              </w:rPr>
            </w:pPr>
            <w:r>
              <w:rPr>
                <w:rFonts w:hint="eastAsia"/>
                <w:szCs w:val="21"/>
              </w:rPr>
              <w:t>0</w:t>
            </w:r>
          </w:p>
        </w:tc>
        <w:tc>
          <w:tcPr>
            <w:tcW w:w="1134" w:type="dxa"/>
            <w:shd w:val="clear" w:color="auto" w:fill="auto"/>
          </w:tcPr>
          <w:p w14:paraId="6DA79C1F">
            <w:pPr>
              <w:jc w:val="center"/>
              <w:rPr>
                <w:szCs w:val="21"/>
              </w:rPr>
            </w:pPr>
            <w:r>
              <w:rPr>
                <w:rFonts w:hint="eastAsia"/>
                <w:szCs w:val="21"/>
              </w:rPr>
              <w:t>0</w:t>
            </w:r>
            <w:r>
              <w:rPr>
                <w:szCs w:val="21"/>
              </w:rPr>
              <w:t>-13.23</w:t>
            </w:r>
          </w:p>
        </w:tc>
      </w:tr>
      <w:tr w14:paraId="7E4A7BEE">
        <w:tblPrEx>
          <w:tblBorders>
            <w:top w:val="single" w:color="000000" w:sz="4" w:space="0"/>
            <w:left w:val="none" w:color="auto" w:sz="0" w:space="0"/>
            <w:bottom w:val="single" w:color="000000"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5" w:hRule="atLeast"/>
          <w:jc w:val="center"/>
        </w:trPr>
        <w:tc>
          <w:tcPr>
            <w:tcW w:w="2429" w:type="dxa"/>
            <w:shd w:val="clear" w:color="auto" w:fill="auto"/>
            <w:vAlign w:val="center"/>
          </w:tcPr>
          <w:p w14:paraId="79383936">
            <w:pPr>
              <w:jc w:val="center"/>
              <w:rPr>
                <w:szCs w:val="21"/>
              </w:rPr>
            </w:pPr>
            <w:r>
              <w:rPr>
                <w:rFonts w:hint="eastAsia"/>
                <w:szCs w:val="21"/>
              </w:rPr>
              <w:t>合计Total</w:t>
            </w:r>
          </w:p>
        </w:tc>
        <w:tc>
          <w:tcPr>
            <w:tcW w:w="657" w:type="dxa"/>
            <w:shd w:val="clear" w:color="auto" w:fill="auto"/>
            <w:vAlign w:val="center"/>
          </w:tcPr>
          <w:p w14:paraId="532ED136">
            <w:pPr>
              <w:jc w:val="center"/>
              <w:rPr>
                <w:szCs w:val="21"/>
              </w:rPr>
            </w:pPr>
            <w:r>
              <w:rPr>
                <w:rFonts w:hint="eastAsia"/>
                <w:szCs w:val="21"/>
              </w:rPr>
              <w:t>3</w:t>
            </w:r>
            <w:r>
              <w:rPr>
                <w:szCs w:val="21"/>
              </w:rPr>
              <w:t>86</w:t>
            </w:r>
          </w:p>
        </w:tc>
        <w:tc>
          <w:tcPr>
            <w:tcW w:w="1478" w:type="dxa"/>
            <w:shd w:val="clear" w:color="auto" w:fill="auto"/>
            <w:vAlign w:val="center"/>
          </w:tcPr>
          <w:p w14:paraId="04BDD886">
            <w:pPr>
              <w:jc w:val="center"/>
              <w:rPr>
                <w:szCs w:val="21"/>
              </w:rPr>
            </w:pPr>
            <w:r>
              <w:rPr>
                <w:rFonts w:hint="eastAsia"/>
                <w:szCs w:val="21"/>
              </w:rPr>
              <w:t>1</w:t>
            </w:r>
            <w:r>
              <w:rPr>
                <w:szCs w:val="21"/>
              </w:rPr>
              <w:t>9(4.92%)</w:t>
            </w:r>
          </w:p>
        </w:tc>
        <w:tc>
          <w:tcPr>
            <w:tcW w:w="1801" w:type="dxa"/>
            <w:shd w:val="clear" w:color="auto" w:fill="auto"/>
          </w:tcPr>
          <w:p w14:paraId="232F66C1">
            <w:pPr>
              <w:jc w:val="center"/>
              <w:rPr>
                <w:szCs w:val="21"/>
              </w:rPr>
            </w:pPr>
            <w:r>
              <w:rPr>
                <w:rFonts w:hint="eastAsia"/>
                <w:szCs w:val="21"/>
              </w:rPr>
              <w:t>1</w:t>
            </w:r>
            <w:r>
              <w:rPr>
                <w:szCs w:val="21"/>
              </w:rPr>
              <w:t>-11</w:t>
            </w:r>
          </w:p>
        </w:tc>
        <w:tc>
          <w:tcPr>
            <w:tcW w:w="1134" w:type="dxa"/>
            <w:shd w:val="clear" w:color="auto" w:fill="auto"/>
          </w:tcPr>
          <w:p w14:paraId="717896B5">
            <w:pPr>
              <w:jc w:val="center"/>
              <w:rPr>
                <w:szCs w:val="21"/>
              </w:rPr>
            </w:pPr>
            <w:r>
              <w:rPr>
                <w:rFonts w:hint="eastAsia"/>
                <w:szCs w:val="21"/>
              </w:rPr>
              <w:t>3</w:t>
            </w:r>
            <w:r>
              <w:rPr>
                <w:szCs w:val="21"/>
              </w:rPr>
              <w:t>9</w:t>
            </w:r>
          </w:p>
        </w:tc>
        <w:tc>
          <w:tcPr>
            <w:tcW w:w="1134" w:type="dxa"/>
            <w:shd w:val="clear" w:color="auto" w:fill="auto"/>
          </w:tcPr>
          <w:p w14:paraId="0E4BB1BD">
            <w:pPr>
              <w:jc w:val="center"/>
              <w:rPr>
                <w:szCs w:val="21"/>
              </w:rPr>
            </w:pPr>
            <w:r>
              <w:rPr>
                <w:szCs w:val="21"/>
              </w:rPr>
              <w:t>2.99-7.58</w:t>
            </w:r>
          </w:p>
        </w:tc>
      </w:tr>
      <w:bookmarkEnd w:id="1"/>
    </w:tbl>
    <w:p w14:paraId="70630566">
      <w:pPr>
        <w:adjustRightInd w:val="0"/>
        <w:snapToGrid w:val="0"/>
        <w:jc w:val="left"/>
        <w:rPr>
          <w:szCs w:val="21"/>
        </w:rPr>
      </w:pPr>
      <w:r>
        <w:rPr>
          <w:rFonts w:hint="eastAsia"/>
          <w:szCs w:val="21"/>
        </w:rPr>
        <w:t>N</w:t>
      </w:r>
      <w:r>
        <w:rPr>
          <w:szCs w:val="21"/>
        </w:rPr>
        <w:t xml:space="preserve">ote: </w:t>
      </w:r>
      <w:r>
        <w:rPr>
          <w:rFonts w:hint="eastAsia"/>
          <w:szCs w:val="21"/>
        </w:rPr>
        <w:t>Same</w:t>
      </w:r>
      <w:r>
        <w:rPr>
          <w:szCs w:val="21"/>
        </w:rPr>
        <w:t xml:space="preserve"> lowercase letter within columns represent</w:t>
      </w:r>
      <w:r>
        <w:rPr>
          <w:rFonts w:hint="eastAsia"/>
          <w:szCs w:val="21"/>
        </w:rPr>
        <w:t>ed</w:t>
      </w:r>
      <w:r>
        <w:rPr>
          <w:szCs w:val="21"/>
        </w:rPr>
        <w:t xml:space="preserve"> </w:t>
      </w:r>
      <w:r>
        <w:rPr>
          <w:rFonts w:hint="eastAsia"/>
          <w:szCs w:val="21"/>
        </w:rPr>
        <w:t xml:space="preserve">no </w:t>
      </w:r>
      <w:r>
        <w:rPr>
          <w:szCs w:val="21"/>
        </w:rPr>
        <w:t>significant differences between groups; different lowercase letter within columns represent</w:t>
      </w:r>
      <w:r>
        <w:rPr>
          <w:rFonts w:hint="eastAsia"/>
          <w:szCs w:val="21"/>
        </w:rPr>
        <w:t>ed</w:t>
      </w:r>
      <w:r>
        <w:rPr>
          <w:szCs w:val="21"/>
        </w:rPr>
        <w:t xml:space="preserve"> significant differences between groups (</w:t>
      </w:r>
      <w:r>
        <w:rPr>
          <w:rFonts w:hint="eastAsia"/>
          <w:i/>
          <w:iCs/>
          <w:szCs w:val="21"/>
        </w:rPr>
        <w:t>p</w:t>
      </w:r>
      <w:r>
        <w:rPr>
          <w:i/>
          <w:iCs/>
          <w:szCs w:val="21"/>
        </w:rPr>
        <w:t xml:space="preserve"> </w:t>
      </w:r>
      <w:r>
        <w:rPr>
          <w:iCs/>
          <w:szCs w:val="21"/>
        </w:rPr>
        <w:t>&gt;</w:t>
      </w:r>
      <w:r>
        <w:rPr>
          <w:szCs w:val="21"/>
        </w:rPr>
        <w:t xml:space="preserve"> 0.05).</w:t>
      </w:r>
    </w:p>
    <w:p w14:paraId="6F67D579">
      <w:pPr>
        <w:spacing w:line="400" w:lineRule="exact"/>
        <w:rPr>
          <w:sz w:val="24"/>
        </w:rPr>
      </w:pPr>
    </w:p>
    <w:p w14:paraId="65D2F04E">
      <w:pPr>
        <w:adjustRightInd w:val="0"/>
        <w:snapToGrid w:val="0"/>
        <w:ind w:firstLine="422" w:firstLineChars="200"/>
        <w:jc w:val="center"/>
        <w:rPr>
          <w:rFonts w:hAnsi="宋体"/>
          <w:b/>
          <w:szCs w:val="21"/>
        </w:rPr>
      </w:pPr>
      <w:bookmarkStart w:id="2" w:name="OLE_LINK2"/>
      <w:bookmarkStart w:id="3" w:name="OLE_LINK1"/>
      <w:r>
        <w:rPr>
          <w:rFonts w:hAnsi="宋体"/>
          <w:b/>
          <w:szCs w:val="21"/>
        </w:rPr>
        <w:t>表</w:t>
      </w:r>
      <w:r>
        <w:rPr>
          <w:rFonts w:hint="eastAsia" w:hAnsi="宋体"/>
          <w:b/>
          <w:szCs w:val="21"/>
        </w:rPr>
        <w:t>3</w:t>
      </w:r>
      <w:r>
        <w:rPr>
          <w:b/>
          <w:szCs w:val="21"/>
        </w:rPr>
        <w:t xml:space="preserve"> </w:t>
      </w:r>
      <w:r>
        <w:rPr>
          <w:rFonts w:hAnsi="宋体"/>
          <w:b/>
          <w:szCs w:val="21"/>
        </w:rPr>
        <w:t>不同区蛙裂头蚴感染情况</w:t>
      </w:r>
    </w:p>
    <w:p w14:paraId="2FD069CD">
      <w:pPr>
        <w:adjustRightInd w:val="0"/>
        <w:snapToGrid w:val="0"/>
        <w:ind w:firstLine="422" w:firstLineChars="200"/>
        <w:jc w:val="center"/>
        <w:rPr>
          <w:b/>
          <w:szCs w:val="21"/>
        </w:rPr>
      </w:pPr>
      <w:r>
        <w:rPr>
          <w:b/>
          <w:szCs w:val="21"/>
        </w:rPr>
        <w:t xml:space="preserve">Table </w:t>
      </w:r>
      <w:r>
        <w:rPr>
          <w:rFonts w:hint="eastAsia"/>
          <w:b/>
          <w:szCs w:val="21"/>
        </w:rPr>
        <w:t>3 P</w:t>
      </w:r>
      <w:r>
        <w:rPr>
          <w:b/>
          <w:szCs w:val="21"/>
        </w:rPr>
        <w:t xml:space="preserve">revalence of </w:t>
      </w:r>
      <w:r>
        <w:rPr>
          <w:b/>
          <w:i/>
          <w:szCs w:val="21"/>
        </w:rPr>
        <w:t>Spirometra</w:t>
      </w:r>
      <w:r>
        <w:rPr>
          <w:b/>
          <w:szCs w:val="21"/>
        </w:rPr>
        <w:t xml:space="preserve"> </w:t>
      </w:r>
      <w:r>
        <w:rPr>
          <w:rFonts w:hint="eastAsia"/>
          <w:b/>
          <w:szCs w:val="21"/>
        </w:rPr>
        <w:t>s</w:t>
      </w:r>
      <w:r>
        <w:rPr>
          <w:b/>
          <w:szCs w:val="21"/>
        </w:rPr>
        <w:t>pargan</w:t>
      </w:r>
      <w:r>
        <w:rPr>
          <w:rFonts w:hint="eastAsia"/>
          <w:b/>
          <w:szCs w:val="21"/>
        </w:rPr>
        <w:t>a in frogs</w:t>
      </w:r>
      <w:r>
        <w:rPr>
          <w:b/>
          <w:szCs w:val="21"/>
        </w:rPr>
        <w:t xml:space="preserve"> (</w:t>
      </w:r>
      <w:r>
        <w:rPr>
          <w:b/>
          <w:i/>
          <w:iCs/>
          <w:szCs w:val="21"/>
        </w:rPr>
        <w:t>F.</w:t>
      </w:r>
      <w:r>
        <w:rPr>
          <w:rFonts w:hint="eastAsia"/>
          <w:b/>
          <w:i/>
          <w:iCs/>
          <w:szCs w:val="21"/>
        </w:rPr>
        <w:t xml:space="preserve"> </w:t>
      </w:r>
      <w:r>
        <w:rPr>
          <w:b/>
          <w:i/>
          <w:iCs/>
          <w:szCs w:val="21"/>
        </w:rPr>
        <w:t>multistriata</w:t>
      </w:r>
      <w:r>
        <w:rPr>
          <w:b/>
          <w:szCs w:val="21"/>
        </w:rPr>
        <w:t xml:space="preserve"> and</w:t>
      </w:r>
      <w:r>
        <w:rPr>
          <w:b/>
          <w:i/>
          <w:iCs/>
          <w:szCs w:val="21"/>
        </w:rPr>
        <w:t xml:space="preserve"> R.</w:t>
      </w:r>
      <w:r>
        <w:rPr>
          <w:rFonts w:hint="eastAsia"/>
          <w:b/>
          <w:i/>
          <w:iCs/>
          <w:szCs w:val="21"/>
        </w:rPr>
        <w:t xml:space="preserve"> </w:t>
      </w:r>
      <w:r>
        <w:rPr>
          <w:b/>
          <w:i/>
          <w:iCs/>
          <w:szCs w:val="21"/>
        </w:rPr>
        <w:t>nigromaculata</w:t>
      </w:r>
      <w:r>
        <w:rPr>
          <w:b/>
          <w:szCs w:val="21"/>
        </w:rPr>
        <w:t>)</w:t>
      </w:r>
    </w:p>
    <w:tbl>
      <w:tblPr>
        <w:tblStyle w:val="7"/>
        <w:tblW w:w="4234" w:type="pct"/>
        <w:jc w:val="center"/>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86"/>
        <w:gridCol w:w="947"/>
        <w:gridCol w:w="787"/>
        <w:gridCol w:w="1041"/>
        <w:gridCol w:w="1443"/>
        <w:gridCol w:w="1117"/>
        <w:gridCol w:w="1126"/>
      </w:tblGrid>
      <w:tr w14:paraId="09A6858A">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4" w:hRule="atLeast"/>
          <w:jc w:val="center"/>
        </w:trPr>
        <w:tc>
          <w:tcPr>
            <w:tcW w:w="1270" w:type="pct"/>
            <w:gridSpan w:val="2"/>
            <w:tcBorders>
              <w:top w:val="single" w:color="auto" w:sz="4" w:space="0"/>
              <w:bottom w:val="single" w:color="auto" w:sz="4" w:space="0"/>
            </w:tcBorders>
            <w:shd w:val="clear" w:color="auto" w:fill="auto"/>
            <w:vAlign w:val="center"/>
          </w:tcPr>
          <w:p w14:paraId="66E735E0">
            <w:pPr>
              <w:jc w:val="center"/>
              <w:rPr>
                <w:b/>
                <w:sz w:val="18"/>
                <w:szCs w:val="18"/>
              </w:rPr>
            </w:pPr>
            <w:r>
              <w:rPr>
                <w:rFonts w:hint="eastAsia"/>
                <w:b/>
                <w:sz w:val="18"/>
                <w:szCs w:val="18"/>
              </w:rPr>
              <w:t>地区L</w:t>
            </w:r>
            <w:r>
              <w:rPr>
                <w:b/>
                <w:sz w:val="18"/>
                <w:szCs w:val="18"/>
              </w:rPr>
              <w:t>ocation</w:t>
            </w:r>
            <w:r>
              <w:rPr>
                <w:rFonts w:hint="eastAsia"/>
                <w:b/>
                <w:sz w:val="18"/>
                <w:szCs w:val="18"/>
              </w:rPr>
              <w:t>s</w:t>
            </w:r>
          </w:p>
        </w:tc>
        <w:tc>
          <w:tcPr>
            <w:tcW w:w="545" w:type="pct"/>
            <w:tcBorders>
              <w:top w:val="single" w:color="auto" w:sz="4" w:space="0"/>
              <w:bottom w:val="single" w:color="auto" w:sz="4" w:space="0"/>
            </w:tcBorders>
            <w:shd w:val="clear" w:color="auto" w:fill="auto"/>
            <w:vAlign w:val="center"/>
          </w:tcPr>
          <w:p w14:paraId="12E2CAF5">
            <w:pPr>
              <w:jc w:val="center"/>
              <w:rPr>
                <w:b/>
                <w:sz w:val="18"/>
                <w:szCs w:val="18"/>
              </w:rPr>
            </w:pPr>
            <w:r>
              <w:rPr>
                <w:rFonts w:hint="eastAsia"/>
                <w:b/>
                <w:sz w:val="18"/>
                <w:szCs w:val="18"/>
              </w:rPr>
              <w:t>样品数No. Sample</w:t>
            </w:r>
          </w:p>
        </w:tc>
        <w:tc>
          <w:tcPr>
            <w:tcW w:w="721" w:type="pct"/>
            <w:tcBorders>
              <w:top w:val="single" w:color="auto" w:sz="4" w:space="0"/>
              <w:bottom w:val="single" w:color="auto" w:sz="4" w:space="0"/>
            </w:tcBorders>
            <w:shd w:val="clear" w:color="auto" w:fill="auto"/>
            <w:vAlign w:val="center"/>
          </w:tcPr>
          <w:p w14:paraId="614788ED">
            <w:pPr>
              <w:jc w:val="center"/>
              <w:rPr>
                <w:b/>
                <w:sz w:val="18"/>
                <w:szCs w:val="18"/>
              </w:rPr>
            </w:pPr>
            <w:r>
              <w:rPr>
                <w:rFonts w:hint="eastAsia"/>
                <w:b/>
                <w:sz w:val="18"/>
                <w:szCs w:val="18"/>
              </w:rPr>
              <w:t>阳性数No. Positive</w:t>
            </w:r>
          </w:p>
        </w:tc>
        <w:tc>
          <w:tcPr>
            <w:tcW w:w="1000" w:type="pct"/>
            <w:tcBorders>
              <w:top w:val="single" w:color="auto" w:sz="4" w:space="0"/>
              <w:bottom w:val="single" w:color="auto" w:sz="4" w:space="0"/>
            </w:tcBorders>
            <w:shd w:val="clear" w:color="auto" w:fill="auto"/>
            <w:vAlign w:val="center"/>
          </w:tcPr>
          <w:p w14:paraId="330D76F8">
            <w:pPr>
              <w:jc w:val="center"/>
              <w:rPr>
                <w:b/>
                <w:sz w:val="18"/>
                <w:szCs w:val="18"/>
              </w:rPr>
            </w:pPr>
            <w:r>
              <w:rPr>
                <w:rFonts w:hint="eastAsia"/>
                <w:b/>
                <w:sz w:val="18"/>
                <w:szCs w:val="18"/>
              </w:rPr>
              <w:t>感染强度Infection intensity</w:t>
            </w:r>
          </w:p>
          <w:p w14:paraId="4A823350">
            <w:pPr>
              <w:jc w:val="center"/>
              <w:rPr>
                <w:b/>
                <w:sz w:val="18"/>
                <w:szCs w:val="18"/>
              </w:rPr>
            </w:pPr>
            <w:r>
              <w:rPr>
                <w:rFonts w:hint="eastAsia"/>
                <w:b/>
                <w:sz w:val="18"/>
                <w:szCs w:val="18"/>
              </w:rPr>
              <w:t>(Spargana/frog)</w:t>
            </w:r>
          </w:p>
        </w:tc>
        <w:tc>
          <w:tcPr>
            <w:tcW w:w="774" w:type="pct"/>
            <w:tcBorders>
              <w:top w:val="single" w:color="auto" w:sz="4" w:space="0"/>
              <w:bottom w:val="single" w:color="auto" w:sz="4" w:space="0"/>
            </w:tcBorders>
            <w:shd w:val="clear" w:color="auto" w:fill="auto"/>
            <w:vAlign w:val="center"/>
          </w:tcPr>
          <w:p w14:paraId="2596AD92">
            <w:pPr>
              <w:jc w:val="center"/>
              <w:rPr>
                <w:b/>
                <w:sz w:val="18"/>
                <w:szCs w:val="18"/>
              </w:rPr>
            </w:pPr>
            <w:r>
              <w:rPr>
                <w:rFonts w:hint="eastAsia"/>
                <w:b/>
                <w:szCs w:val="21"/>
              </w:rPr>
              <w:t>裂头蚴总数</w:t>
            </w:r>
            <w:r>
              <w:rPr>
                <w:rFonts w:hint="eastAsia"/>
                <w:b/>
                <w:sz w:val="18"/>
                <w:szCs w:val="18"/>
              </w:rPr>
              <w:t>No. Sparganum</w:t>
            </w:r>
          </w:p>
        </w:tc>
        <w:tc>
          <w:tcPr>
            <w:tcW w:w="690" w:type="pct"/>
            <w:tcBorders>
              <w:top w:val="single" w:color="auto" w:sz="4" w:space="0"/>
              <w:bottom w:val="single" w:color="auto" w:sz="4" w:space="0"/>
            </w:tcBorders>
            <w:shd w:val="clear" w:color="auto" w:fill="auto"/>
            <w:vAlign w:val="center"/>
          </w:tcPr>
          <w:p w14:paraId="57A062B9">
            <w:pPr>
              <w:jc w:val="center"/>
              <w:rPr>
                <w:b/>
                <w:sz w:val="18"/>
                <w:szCs w:val="18"/>
              </w:rPr>
            </w:pPr>
            <w:r>
              <w:rPr>
                <w:rFonts w:hint="eastAsia"/>
                <w:b/>
                <w:szCs w:val="21"/>
              </w:rPr>
              <w:t>95%置信区间</w:t>
            </w:r>
            <w:r>
              <w:rPr>
                <w:rFonts w:hint="eastAsia"/>
                <w:b/>
                <w:sz w:val="18"/>
                <w:szCs w:val="18"/>
              </w:rPr>
              <w:t>9</w:t>
            </w:r>
            <w:r>
              <w:rPr>
                <w:b/>
                <w:sz w:val="18"/>
                <w:szCs w:val="18"/>
              </w:rPr>
              <w:t>5%CI</w:t>
            </w:r>
          </w:p>
        </w:tc>
      </w:tr>
      <w:tr w14:paraId="5CDCC65F">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14" w:type="pct"/>
            <w:vMerge w:val="restart"/>
            <w:tcBorders>
              <w:top w:val="single" w:color="auto" w:sz="4" w:space="0"/>
            </w:tcBorders>
            <w:shd w:val="clear" w:color="auto" w:fill="auto"/>
            <w:vAlign w:val="center"/>
          </w:tcPr>
          <w:p w14:paraId="32EAC1ED">
            <w:pPr>
              <w:ind w:left="-147" w:leftChars="-70"/>
              <w:jc w:val="center"/>
              <w:rPr>
                <w:sz w:val="18"/>
                <w:szCs w:val="18"/>
              </w:rPr>
            </w:pPr>
            <w:r>
              <w:rPr>
                <w:rFonts w:hint="eastAsia"/>
                <w:sz w:val="18"/>
                <w:szCs w:val="18"/>
              </w:rPr>
              <w:t>上海</w:t>
            </w:r>
          </w:p>
          <w:p w14:paraId="04DA9C69">
            <w:pPr>
              <w:jc w:val="center"/>
              <w:rPr>
                <w:sz w:val="18"/>
                <w:szCs w:val="18"/>
              </w:rPr>
            </w:pPr>
            <w:r>
              <w:rPr>
                <w:sz w:val="18"/>
                <w:szCs w:val="18"/>
              </w:rPr>
              <w:t>Shanghai</w:t>
            </w:r>
          </w:p>
        </w:tc>
        <w:tc>
          <w:tcPr>
            <w:tcW w:w="656" w:type="pct"/>
            <w:tcBorders>
              <w:top w:val="single" w:color="auto" w:sz="4" w:space="0"/>
            </w:tcBorders>
            <w:shd w:val="clear" w:color="auto" w:fill="auto"/>
            <w:vAlign w:val="center"/>
          </w:tcPr>
          <w:p w14:paraId="4249B15E">
            <w:pPr>
              <w:jc w:val="center"/>
              <w:rPr>
                <w:sz w:val="18"/>
                <w:szCs w:val="18"/>
              </w:rPr>
            </w:pPr>
            <w:r>
              <w:rPr>
                <w:rFonts w:hint="eastAsia"/>
                <w:sz w:val="18"/>
                <w:szCs w:val="18"/>
              </w:rPr>
              <w:t>闵行</w:t>
            </w:r>
          </w:p>
          <w:p w14:paraId="055BF5AA">
            <w:pPr>
              <w:jc w:val="center"/>
              <w:rPr>
                <w:sz w:val="18"/>
                <w:szCs w:val="18"/>
              </w:rPr>
            </w:pPr>
            <w:r>
              <w:rPr>
                <w:rFonts w:hint="eastAsia"/>
                <w:sz w:val="18"/>
                <w:szCs w:val="18"/>
              </w:rPr>
              <w:t>Minhang</w:t>
            </w:r>
          </w:p>
        </w:tc>
        <w:tc>
          <w:tcPr>
            <w:tcW w:w="545" w:type="pct"/>
            <w:tcBorders>
              <w:top w:val="single" w:color="auto" w:sz="4" w:space="0"/>
            </w:tcBorders>
            <w:shd w:val="clear" w:color="auto" w:fill="auto"/>
            <w:vAlign w:val="center"/>
          </w:tcPr>
          <w:p w14:paraId="59EAFB1B">
            <w:pPr>
              <w:jc w:val="center"/>
              <w:rPr>
                <w:sz w:val="18"/>
                <w:szCs w:val="18"/>
              </w:rPr>
            </w:pPr>
            <w:r>
              <w:rPr>
                <w:sz w:val="18"/>
                <w:szCs w:val="18"/>
              </w:rPr>
              <w:t>42</w:t>
            </w:r>
          </w:p>
        </w:tc>
        <w:tc>
          <w:tcPr>
            <w:tcW w:w="721" w:type="pct"/>
            <w:tcBorders>
              <w:top w:val="single" w:color="auto" w:sz="4" w:space="0"/>
            </w:tcBorders>
            <w:shd w:val="clear" w:color="auto" w:fill="auto"/>
            <w:vAlign w:val="center"/>
          </w:tcPr>
          <w:p w14:paraId="42D66392">
            <w:pPr>
              <w:jc w:val="center"/>
              <w:rPr>
                <w:sz w:val="18"/>
                <w:szCs w:val="18"/>
              </w:rPr>
            </w:pPr>
            <w:r>
              <w:rPr>
                <w:sz w:val="18"/>
                <w:szCs w:val="18"/>
              </w:rPr>
              <w:t>4</w:t>
            </w:r>
            <w:r>
              <w:rPr>
                <w:rFonts w:hint="eastAsia"/>
                <w:sz w:val="18"/>
                <w:szCs w:val="18"/>
              </w:rPr>
              <w:t>(</w:t>
            </w:r>
            <w:r>
              <w:rPr>
                <w:sz w:val="18"/>
                <w:szCs w:val="18"/>
              </w:rPr>
              <w:t>9.52</w:t>
            </w:r>
            <w:r>
              <w:rPr>
                <w:rFonts w:hint="eastAsia"/>
                <w:sz w:val="18"/>
                <w:szCs w:val="18"/>
              </w:rPr>
              <w:t>%)</w:t>
            </w:r>
            <w:r>
              <w:rPr>
                <w:sz w:val="18"/>
                <w:szCs w:val="18"/>
                <w:vertAlign w:val="superscript"/>
              </w:rPr>
              <w:t>a</w:t>
            </w:r>
          </w:p>
        </w:tc>
        <w:tc>
          <w:tcPr>
            <w:tcW w:w="1000" w:type="pct"/>
            <w:tcBorders>
              <w:top w:val="single" w:color="auto" w:sz="4" w:space="0"/>
            </w:tcBorders>
            <w:shd w:val="clear" w:color="auto" w:fill="auto"/>
            <w:vAlign w:val="center"/>
          </w:tcPr>
          <w:p w14:paraId="1ABC5041">
            <w:pPr>
              <w:jc w:val="center"/>
              <w:rPr>
                <w:sz w:val="18"/>
                <w:szCs w:val="18"/>
              </w:rPr>
            </w:pPr>
            <w:r>
              <w:rPr>
                <w:rFonts w:hint="eastAsia"/>
                <w:sz w:val="18"/>
                <w:szCs w:val="18"/>
              </w:rPr>
              <w:t>1-3</w:t>
            </w:r>
          </w:p>
        </w:tc>
        <w:tc>
          <w:tcPr>
            <w:tcW w:w="774" w:type="pct"/>
            <w:tcBorders>
              <w:top w:val="single" w:color="auto" w:sz="4" w:space="0"/>
            </w:tcBorders>
            <w:shd w:val="clear" w:color="auto" w:fill="auto"/>
            <w:vAlign w:val="center"/>
          </w:tcPr>
          <w:p w14:paraId="780C8337">
            <w:pPr>
              <w:jc w:val="center"/>
              <w:rPr>
                <w:sz w:val="18"/>
                <w:szCs w:val="18"/>
              </w:rPr>
            </w:pPr>
            <w:r>
              <w:rPr>
                <w:sz w:val="18"/>
                <w:szCs w:val="18"/>
              </w:rPr>
              <w:t>6</w:t>
            </w:r>
          </w:p>
        </w:tc>
        <w:tc>
          <w:tcPr>
            <w:tcW w:w="690" w:type="pct"/>
            <w:tcBorders>
              <w:top w:val="single" w:color="auto" w:sz="4" w:space="0"/>
            </w:tcBorders>
            <w:shd w:val="clear" w:color="auto" w:fill="auto"/>
            <w:vAlign w:val="center"/>
          </w:tcPr>
          <w:p w14:paraId="1583E32E">
            <w:pPr>
              <w:jc w:val="center"/>
              <w:rPr>
                <w:sz w:val="18"/>
                <w:szCs w:val="18"/>
              </w:rPr>
            </w:pPr>
            <w:r>
              <w:rPr>
                <w:sz w:val="18"/>
                <w:szCs w:val="18"/>
              </w:rPr>
              <w:t>2.66-22.62</w:t>
            </w:r>
          </w:p>
        </w:tc>
      </w:tr>
      <w:tr w14:paraId="314BC5E1">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14" w:type="pct"/>
            <w:vMerge w:val="continue"/>
            <w:shd w:val="clear" w:color="auto" w:fill="auto"/>
            <w:vAlign w:val="center"/>
          </w:tcPr>
          <w:p w14:paraId="68B3E20A">
            <w:pPr>
              <w:jc w:val="center"/>
              <w:rPr>
                <w:sz w:val="18"/>
                <w:szCs w:val="18"/>
              </w:rPr>
            </w:pPr>
          </w:p>
        </w:tc>
        <w:tc>
          <w:tcPr>
            <w:tcW w:w="656" w:type="pct"/>
            <w:shd w:val="clear" w:color="auto" w:fill="auto"/>
            <w:vAlign w:val="center"/>
          </w:tcPr>
          <w:p w14:paraId="1A1028E4">
            <w:pPr>
              <w:jc w:val="center"/>
              <w:rPr>
                <w:sz w:val="18"/>
                <w:szCs w:val="18"/>
              </w:rPr>
            </w:pPr>
            <w:r>
              <w:rPr>
                <w:rFonts w:hint="eastAsia"/>
                <w:sz w:val="18"/>
                <w:szCs w:val="18"/>
              </w:rPr>
              <w:t>奉贤</w:t>
            </w:r>
          </w:p>
          <w:p w14:paraId="08795827">
            <w:pPr>
              <w:jc w:val="center"/>
              <w:rPr>
                <w:sz w:val="18"/>
                <w:szCs w:val="18"/>
              </w:rPr>
            </w:pPr>
            <w:r>
              <w:rPr>
                <w:rFonts w:hint="eastAsia"/>
                <w:sz w:val="18"/>
                <w:szCs w:val="18"/>
              </w:rPr>
              <w:t>F</w:t>
            </w:r>
            <w:r>
              <w:rPr>
                <w:sz w:val="18"/>
                <w:szCs w:val="18"/>
              </w:rPr>
              <w:t>engxian</w:t>
            </w:r>
          </w:p>
        </w:tc>
        <w:tc>
          <w:tcPr>
            <w:tcW w:w="545" w:type="pct"/>
            <w:shd w:val="clear" w:color="auto" w:fill="auto"/>
            <w:vAlign w:val="center"/>
          </w:tcPr>
          <w:p w14:paraId="6B0F0550">
            <w:pPr>
              <w:jc w:val="center"/>
              <w:rPr>
                <w:sz w:val="18"/>
                <w:szCs w:val="18"/>
              </w:rPr>
            </w:pPr>
            <w:r>
              <w:rPr>
                <w:sz w:val="18"/>
                <w:szCs w:val="18"/>
              </w:rPr>
              <w:t>23</w:t>
            </w:r>
          </w:p>
        </w:tc>
        <w:tc>
          <w:tcPr>
            <w:tcW w:w="721" w:type="pct"/>
            <w:shd w:val="clear" w:color="auto" w:fill="auto"/>
            <w:vAlign w:val="center"/>
          </w:tcPr>
          <w:p w14:paraId="7769FE3C">
            <w:pPr>
              <w:jc w:val="center"/>
              <w:rPr>
                <w:sz w:val="18"/>
                <w:szCs w:val="18"/>
              </w:rPr>
            </w:pPr>
            <w:r>
              <w:rPr>
                <w:rFonts w:hint="eastAsia"/>
                <w:sz w:val="18"/>
                <w:szCs w:val="18"/>
              </w:rPr>
              <w:t>2</w:t>
            </w:r>
            <w:r>
              <w:rPr>
                <w:sz w:val="18"/>
                <w:szCs w:val="18"/>
              </w:rPr>
              <w:t>(8.70%)</w:t>
            </w:r>
            <w:r>
              <w:rPr>
                <w:sz w:val="18"/>
                <w:szCs w:val="18"/>
                <w:vertAlign w:val="superscript"/>
              </w:rPr>
              <w:t>a</w:t>
            </w:r>
          </w:p>
        </w:tc>
        <w:tc>
          <w:tcPr>
            <w:tcW w:w="1000" w:type="pct"/>
            <w:shd w:val="clear" w:color="auto" w:fill="auto"/>
            <w:vAlign w:val="center"/>
          </w:tcPr>
          <w:p w14:paraId="02216E2C">
            <w:pPr>
              <w:jc w:val="center"/>
              <w:rPr>
                <w:sz w:val="18"/>
                <w:szCs w:val="18"/>
              </w:rPr>
            </w:pPr>
            <w:r>
              <w:rPr>
                <w:rFonts w:hint="eastAsia"/>
                <w:sz w:val="18"/>
                <w:szCs w:val="18"/>
              </w:rPr>
              <w:t>1</w:t>
            </w:r>
            <w:r>
              <w:rPr>
                <w:sz w:val="18"/>
                <w:szCs w:val="18"/>
              </w:rPr>
              <w:t>-2</w:t>
            </w:r>
          </w:p>
        </w:tc>
        <w:tc>
          <w:tcPr>
            <w:tcW w:w="774" w:type="pct"/>
            <w:shd w:val="clear" w:color="auto" w:fill="auto"/>
            <w:vAlign w:val="center"/>
          </w:tcPr>
          <w:p w14:paraId="0B74B5D4">
            <w:pPr>
              <w:jc w:val="center"/>
              <w:rPr>
                <w:sz w:val="18"/>
                <w:szCs w:val="18"/>
              </w:rPr>
            </w:pPr>
            <w:r>
              <w:rPr>
                <w:sz w:val="18"/>
                <w:szCs w:val="18"/>
              </w:rPr>
              <w:t>3</w:t>
            </w:r>
          </w:p>
        </w:tc>
        <w:tc>
          <w:tcPr>
            <w:tcW w:w="690" w:type="pct"/>
            <w:shd w:val="clear" w:color="auto" w:fill="auto"/>
            <w:vAlign w:val="center"/>
          </w:tcPr>
          <w:p w14:paraId="723BB2EE">
            <w:pPr>
              <w:jc w:val="center"/>
              <w:rPr>
                <w:sz w:val="18"/>
                <w:szCs w:val="18"/>
              </w:rPr>
            </w:pPr>
            <w:r>
              <w:rPr>
                <w:rFonts w:hint="eastAsia"/>
                <w:sz w:val="18"/>
                <w:szCs w:val="18"/>
              </w:rPr>
              <w:t>1</w:t>
            </w:r>
            <w:r>
              <w:rPr>
                <w:sz w:val="18"/>
                <w:szCs w:val="18"/>
              </w:rPr>
              <w:t>.07-28.04</w:t>
            </w:r>
          </w:p>
        </w:tc>
      </w:tr>
      <w:tr w14:paraId="00DBC498">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14" w:type="pct"/>
            <w:vMerge w:val="continue"/>
            <w:shd w:val="clear" w:color="auto" w:fill="auto"/>
            <w:vAlign w:val="center"/>
          </w:tcPr>
          <w:p w14:paraId="338F6CF0">
            <w:pPr>
              <w:jc w:val="center"/>
              <w:rPr>
                <w:sz w:val="18"/>
                <w:szCs w:val="18"/>
              </w:rPr>
            </w:pPr>
          </w:p>
        </w:tc>
        <w:tc>
          <w:tcPr>
            <w:tcW w:w="656" w:type="pct"/>
            <w:shd w:val="clear" w:color="auto" w:fill="auto"/>
            <w:vAlign w:val="center"/>
          </w:tcPr>
          <w:p w14:paraId="3027C255">
            <w:pPr>
              <w:jc w:val="center"/>
              <w:rPr>
                <w:sz w:val="18"/>
                <w:szCs w:val="18"/>
              </w:rPr>
            </w:pPr>
            <w:r>
              <w:rPr>
                <w:rFonts w:hint="eastAsia"/>
                <w:sz w:val="18"/>
                <w:szCs w:val="18"/>
              </w:rPr>
              <w:t>松江</w:t>
            </w:r>
          </w:p>
          <w:p w14:paraId="6D5A040A">
            <w:pPr>
              <w:jc w:val="center"/>
              <w:rPr>
                <w:sz w:val="18"/>
                <w:szCs w:val="18"/>
              </w:rPr>
            </w:pPr>
            <w:r>
              <w:rPr>
                <w:rFonts w:hint="eastAsia"/>
                <w:sz w:val="18"/>
                <w:szCs w:val="18"/>
              </w:rPr>
              <w:t>S</w:t>
            </w:r>
            <w:r>
              <w:rPr>
                <w:sz w:val="18"/>
                <w:szCs w:val="18"/>
              </w:rPr>
              <w:t>ongjiang</w:t>
            </w:r>
          </w:p>
        </w:tc>
        <w:tc>
          <w:tcPr>
            <w:tcW w:w="545" w:type="pct"/>
            <w:shd w:val="clear" w:color="auto" w:fill="auto"/>
            <w:vAlign w:val="center"/>
          </w:tcPr>
          <w:p w14:paraId="52E96BCB">
            <w:pPr>
              <w:jc w:val="center"/>
              <w:rPr>
                <w:sz w:val="18"/>
                <w:szCs w:val="18"/>
              </w:rPr>
            </w:pPr>
            <w:r>
              <w:rPr>
                <w:sz w:val="18"/>
                <w:szCs w:val="18"/>
              </w:rPr>
              <w:t>30</w:t>
            </w:r>
          </w:p>
        </w:tc>
        <w:tc>
          <w:tcPr>
            <w:tcW w:w="721" w:type="pct"/>
            <w:shd w:val="clear" w:color="auto" w:fill="auto"/>
            <w:vAlign w:val="center"/>
          </w:tcPr>
          <w:p w14:paraId="6A230877">
            <w:pPr>
              <w:jc w:val="center"/>
              <w:rPr>
                <w:sz w:val="18"/>
                <w:szCs w:val="18"/>
              </w:rPr>
            </w:pPr>
            <w:r>
              <w:rPr>
                <w:rFonts w:hint="eastAsia"/>
                <w:sz w:val="18"/>
                <w:szCs w:val="18"/>
              </w:rPr>
              <w:t>2</w:t>
            </w:r>
            <w:r>
              <w:rPr>
                <w:sz w:val="18"/>
                <w:szCs w:val="18"/>
              </w:rPr>
              <w:t>(6.67%)</w:t>
            </w:r>
            <w:r>
              <w:rPr>
                <w:sz w:val="18"/>
                <w:szCs w:val="18"/>
                <w:vertAlign w:val="superscript"/>
              </w:rPr>
              <w:t>a</w:t>
            </w:r>
          </w:p>
        </w:tc>
        <w:tc>
          <w:tcPr>
            <w:tcW w:w="1000" w:type="pct"/>
            <w:shd w:val="clear" w:color="auto" w:fill="auto"/>
            <w:vAlign w:val="center"/>
          </w:tcPr>
          <w:p w14:paraId="5CE34EBC">
            <w:pPr>
              <w:jc w:val="center"/>
              <w:rPr>
                <w:sz w:val="18"/>
                <w:szCs w:val="18"/>
              </w:rPr>
            </w:pPr>
            <w:r>
              <w:rPr>
                <w:rFonts w:hint="eastAsia"/>
                <w:sz w:val="18"/>
                <w:szCs w:val="18"/>
              </w:rPr>
              <w:t>1</w:t>
            </w:r>
            <w:r>
              <w:rPr>
                <w:sz w:val="18"/>
                <w:szCs w:val="18"/>
              </w:rPr>
              <w:t>-2</w:t>
            </w:r>
          </w:p>
        </w:tc>
        <w:tc>
          <w:tcPr>
            <w:tcW w:w="774" w:type="pct"/>
            <w:shd w:val="clear" w:color="auto" w:fill="auto"/>
            <w:vAlign w:val="center"/>
          </w:tcPr>
          <w:p w14:paraId="3E0859A6">
            <w:pPr>
              <w:jc w:val="center"/>
              <w:rPr>
                <w:sz w:val="18"/>
                <w:szCs w:val="18"/>
              </w:rPr>
            </w:pPr>
            <w:r>
              <w:rPr>
                <w:sz w:val="18"/>
                <w:szCs w:val="18"/>
              </w:rPr>
              <w:t>3</w:t>
            </w:r>
          </w:p>
        </w:tc>
        <w:tc>
          <w:tcPr>
            <w:tcW w:w="690" w:type="pct"/>
            <w:shd w:val="clear" w:color="auto" w:fill="auto"/>
            <w:vAlign w:val="center"/>
          </w:tcPr>
          <w:p w14:paraId="278A3E4A">
            <w:pPr>
              <w:jc w:val="center"/>
              <w:rPr>
                <w:sz w:val="18"/>
                <w:szCs w:val="18"/>
              </w:rPr>
            </w:pPr>
            <w:r>
              <w:rPr>
                <w:rFonts w:hint="eastAsia"/>
                <w:sz w:val="18"/>
                <w:szCs w:val="18"/>
              </w:rPr>
              <w:t>0</w:t>
            </w:r>
            <w:r>
              <w:rPr>
                <w:sz w:val="18"/>
                <w:szCs w:val="18"/>
              </w:rPr>
              <w:t>.82-22.07</w:t>
            </w:r>
          </w:p>
        </w:tc>
      </w:tr>
      <w:tr w14:paraId="6C2F55C0">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14" w:type="pct"/>
            <w:vMerge w:val="continue"/>
            <w:shd w:val="clear" w:color="auto" w:fill="auto"/>
            <w:vAlign w:val="center"/>
          </w:tcPr>
          <w:p w14:paraId="1AA9AF63">
            <w:pPr>
              <w:jc w:val="center"/>
              <w:rPr>
                <w:sz w:val="18"/>
                <w:szCs w:val="18"/>
              </w:rPr>
            </w:pPr>
          </w:p>
        </w:tc>
        <w:tc>
          <w:tcPr>
            <w:tcW w:w="656" w:type="pct"/>
            <w:shd w:val="clear" w:color="auto" w:fill="auto"/>
            <w:vAlign w:val="center"/>
          </w:tcPr>
          <w:p w14:paraId="23488721">
            <w:pPr>
              <w:jc w:val="center"/>
              <w:rPr>
                <w:sz w:val="18"/>
                <w:szCs w:val="18"/>
              </w:rPr>
            </w:pPr>
            <w:r>
              <w:rPr>
                <w:rFonts w:hint="eastAsia"/>
                <w:sz w:val="18"/>
                <w:szCs w:val="18"/>
              </w:rPr>
              <w:t>小计Total</w:t>
            </w:r>
          </w:p>
        </w:tc>
        <w:tc>
          <w:tcPr>
            <w:tcW w:w="545" w:type="pct"/>
            <w:shd w:val="clear" w:color="auto" w:fill="auto"/>
            <w:vAlign w:val="center"/>
          </w:tcPr>
          <w:p w14:paraId="54B57F62">
            <w:pPr>
              <w:jc w:val="center"/>
              <w:rPr>
                <w:sz w:val="18"/>
                <w:szCs w:val="18"/>
              </w:rPr>
            </w:pPr>
            <w:r>
              <w:rPr>
                <w:sz w:val="18"/>
                <w:szCs w:val="18"/>
              </w:rPr>
              <w:t>95</w:t>
            </w:r>
          </w:p>
        </w:tc>
        <w:tc>
          <w:tcPr>
            <w:tcW w:w="721" w:type="pct"/>
            <w:shd w:val="clear" w:color="auto" w:fill="auto"/>
            <w:vAlign w:val="center"/>
          </w:tcPr>
          <w:p w14:paraId="42AEA388">
            <w:pPr>
              <w:jc w:val="center"/>
              <w:rPr>
                <w:sz w:val="18"/>
                <w:szCs w:val="18"/>
              </w:rPr>
            </w:pPr>
            <w:r>
              <w:rPr>
                <w:rFonts w:hint="eastAsia"/>
                <w:sz w:val="18"/>
                <w:szCs w:val="18"/>
              </w:rPr>
              <w:t>8（8.42%）</w:t>
            </w:r>
          </w:p>
        </w:tc>
        <w:tc>
          <w:tcPr>
            <w:tcW w:w="1000" w:type="pct"/>
            <w:shd w:val="clear" w:color="auto" w:fill="auto"/>
            <w:vAlign w:val="center"/>
          </w:tcPr>
          <w:p w14:paraId="0A1C6209">
            <w:pPr>
              <w:jc w:val="center"/>
              <w:rPr>
                <w:sz w:val="18"/>
                <w:szCs w:val="18"/>
              </w:rPr>
            </w:pPr>
          </w:p>
        </w:tc>
        <w:tc>
          <w:tcPr>
            <w:tcW w:w="774" w:type="pct"/>
            <w:shd w:val="clear" w:color="auto" w:fill="auto"/>
            <w:vAlign w:val="center"/>
          </w:tcPr>
          <w:p w14:paraId="7045B7DA">
            <w:pPr>
              <w:jc w:val="center"/>
              <w:rPr>
                <w:sz w:val="18"/>
                <w:szCs w:val="18"/>
              </w:rPr>
            </w:pPr>
            <w:r>
              <w:rPr>
                <w:rFonts w:hint="eastAsia"/>
                <w:sz w:val="18"/>
                <w:szCs w:val="18"/>
              </w:rPr>
              <w:t>12</w:t>
            </w:r>
          </w:p>
        </w:tc>
        <w:tc>
          <w:tcPr>
            <w:tcW w:w="690" w:type="pct"/>
            <w:shd w:val="clear" w:color="auto" w:fill="auto"/>
            <w:vAlign w:val="center"/>
          </w:tcPr>
          <w:p w14:paraId="6BD8C2BD">
            <w:pPr>
              <w:jc w:val="center"/>
              <w:rPr>
                <w:sz w:val="18"/>
                <w:szCs w:val="18"/>
              </w:rPr>
            </w:pPr>
            <w:r>
              <w:rPr>
                <w:rFonts w:hint="eastAsia"/>
                <w:szCs w:val="21"/>
              </w:rPr>
              <w:t>3</w:t>
            </w:r>
            <w:r>
              <w:rPr>
                <w:szCs w:val="21"/>
              </w:rPr>
              <w:t>.71-15.92</w:t>
            </w:r>
          </w:p>
        </w:tc>
      </w:tr>
      <w:tr w14:paraId="59F51034">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14" w:type="pct"/>
            <w:vMerge w:val="restart"/>
            <w:shd w:val="clear" w:color="auto" w:fill="auto"/>
            <w:vAlign w:val="center"/>
          </w:tcPr>
          <w:p w14:paraId="056954EA">
            <w:pPr>
              <w:jc w:val="center"/>
              <w:rPr>
                <w:sz w:val="18"/>
                <w:szCs w:val="18"/>
              </w:rPr>
            </w:pPr>
            <w:r>
              <w:rPr>
                <w:rFonts w:hint="eastAsia"/>
                <w:sz w:val="18"/>
                <w:szCs w:val="18"/>
              </w:rPr>
              <w:t>江苏</w:t>
            </w:r>
          </w:p>
          <w:p w14:paraId="0C100D5E">
            <w:pPr>
              <w:jc w:val="center"/>
              <w:rPr>
                <w:sz w:val="18"/>
                <w:szCs w:val="18"/>
              </w:rPr>
            </w:pPr>
            <w:r>
              <w:rPr>
                <w:sz w:val="18"/>
                <w:szCs w:val="18"/>
              </w:rPr>
              <w:t>Jiangsu</w:t>
            </w:r>
          </w:p>
        </w:tc>
        <w:tc>
          <w:tcPr>
            <w:tcW w:w="656" w:type="pct"/>
            <w:shd w:val="clear" w:color="auto" w:fill="auto"/>
            <w:vAlign w:val="center"/>
          </w:tcPr>
          <w:p w14:paraId="4A929C80">
            <w:pPr>
              <w:jc w:val="center"/>
              <w:rPr>
                <w:sz w:val="18"/>
                <w:szCs w:val="18"/>
              </w:rPr>
            </w:pPr>
            <w:r>
              <w:rPr>
                <w:rFonts w:hint="eastAsia"/>
                <w:sz w:val="18"/>
                <w:szCs w:val="18"/>
              </w:rPr>
              <w:t>海门</w:t>
            </w:r>
          </w:p>
          <w:p w14:paraId="48773CCD">
            <w:pPr>
              <w:jc w:val="center"/>
              <w:rPr>
                <w:sz w:val="18"/>
                <w:szCs w:val="18"/>
              </w:rPr>
            </w:pPr>
            <w:r>
              <w:rPr>
                <w:rFonts w:hint="eastAsia"/>
                <w:sz w:val="18"/>
                <w:szCs w:val="18"/>
              </w:rPr>
              <w:t>Haimen</w:t>
            </w:r>
          </w:p>
        </w:tc>
        <w:tc>
          <w:tcPr>
            <w:tcW w:w="545" w:type="pct"/>
            <w:shd w:val="clear" w:color="auto" w:fill="auto"/>
            <w:vAlign w:val="center"/>
          </w:tcPr>
          <w:p w14:paraId="39673B65">
            <w:pPr>
              <w:jc w:val="center"/>
              <w:rPr>
                <w:sz w:val="18"/>
                <w:szCs w:val="18"/>
              </w:rPr>
            </w:pPr>
            <w:r>
              <w:rPr>
                <w:sz w:val="18"/>
                <w:szCs w:val="18"/>
              </w:rPr>
              <w:t>83</w:t>
            </w:r>
          </w:p>
        </w:tc>
        <w:tc>
          <w:tcPr>
            <w:tcW w:w="721" w:type="pct"/>
            <w:shd w:val="clear" w:color="auto" w:fill="auto"/>
            <w:vAlign w:val="center"/>
          </w:tcPr>
          <w:p w14:paraId="17361F8A">
            <w:pPr>
              <w:jc w:val="center"/>
              <w:rPr>
                <w:sz w:val="18"/>
                <w:szCs w:val="18"/>
              </w:rPr>
            </w:pPr>
            <w:r>
              <w:rPr>
                <w:sz w:val="18"/>
                <w:szCs w:val="18"/>
              </w:rPr>
              <w:t>9</w:t>
            </w:r>
            <w:r>
              <w:rPr>
                <w:rFonts w:hint="eastAsia"/>
                <w:sz w:val="18"/>
                <w:szCs w:val="18"/>
              </w:rPr>
              <w:t>(</w:t>
            </w:r>
            <w:r>
              <w:rPr>
                <w:sz w:val="18"/>
                <w:szCs w:val="18"/>
              </w:rPr>
              <w:t>10.84</w:t>
            </w:r>
            <w:r>
              <w:rPr>
                <w:rFonts w:hint="eastAsia"/>
                <w:sz w:val="18"/>
                <w:szCs w:val="18"/>
              </w:rPr>
              <w:t>%)</w:t>
            </w:r>
            <w:r>
              <w:rPr>
                <w:sz w:val="18"/>
                <w:szCs w:val="18"/>
                <w:vertAlign w:val="superscript"/>
              </w:rPr>
              <w:t>a</w:t>
            </w:r>
          </w:p>
        </w:tc>
        <w:tc>
          <w:tcPr>
            <w:tcW w:w="1000" w:type="pct"/>
            <w:shd w:val="clear" w:color="auto" w:fill="auto"/>
            <w:vAlign w:val="center"/>
          </w:tcPr>
          <w:p w14:paraId="612D69DE">
            <w:pPr>
              <w:jc w:val="center"/>
              <w:rPr>
                <w:sz w:val="18"/>
                <w:szCs w:val="18"/>
              </w:rPr>
            </w:pPr>
            <w:r>
              <w:rPr>
                <w:rFonts w:hint="eastAsia"/>
                <w:sz w:val="18"/>
                <w:szCs w:val="18"/>
              </w:rPr>
              <w:t>1-</w:t>
            </w:r>
            <w:r>
              <w:rPr>
                <w:sz w:val="18"/>
                <w:szCs w:val="18"/>
              </w:rPr>
              <w:t>11</w:t>
            </w:r>
          </w:p>
        </w:tc>
        <w:tc>
          <w:tcPr>
            <w:tcW w:w="774" w:type="pct"/>
            <w:shd w:val="clear" w:color="auto" w:fill="auto"/>
            <w:vAlign w:val="center"/>
          </w:tcPr>
          <w:p w14:paraId="6726FC12">
            <w:pPr>
              <w:jc w:val="center"/>
              <w:rPr>
                <w:sz w:val="18"/>
                <w:szCs w:val="18"/>
              </w:rPr>
            </w:pPr>
            <w:r>
              <w:rPr>
                <w:sz w:val="18"/>
                <w:szCs w:val="18"/>
              </w:rPr>
              <w:t>25</w:t>
            </w:r>
          </w:p>
        </w:tc>
        <w:tc>
          <w:tcPr>
            <w:tcW w:w="690" w:type="pct"/>
            <w:shd w:val="clear" w:color="auto" w:fill="auto"/>
            <w:vAlign w:val="center"/>
          </w:tcPr>
          <w:p w14:paraId="432DB3A5">
            <w:pPr>
              <w:jc w:val="center"/>
              <w:rPr>
                <w:sz w:val="18"/>
                <w:szCs w:val="18"/>
              </w:rPr>
            </w:pPr>
            <w:r>
              <w:rPr>
                <w:sz w:val="18"/>
                <w:szCs w:val="18"/>
              </w:rPr>
              <w:t>5.08-19.59</w:t>
            </w:r>
          </w:p>
        </w:tc>
      </w:tr>
      <w:tr w14:paraId="76E4A0CC">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14" w:type="pct"/>
            <w:vMerge w:val="continue"/>
            <w:shd w:val="clear" w:color="auto" w:fill="auto"/>
            <w:vAlign w:val="center"/>
          </w:tcPr>
          <w:p w14:paraId="38AC2C8F">
            <w:pPr>
              <w:jc w:val="center"/>
              <w:rPr>
                <w:sz w:val="18"/>
                <w:szCs w:val="18"/>
              </w:rPr>
            </w:pPr>
          </w:p>
        </w:tc>
        <w:tc>
          <w:tcPr>
            <w:tcW w:w="656" w:type="pct"/>
            <w:shd w:val="clear" w:color="auto" w:fill="auto"/>
            <w:vAlign w:val="center"/>
          </w:tcPr>
          <w:p w14:paraId="3177FA1E">
            <w:pPr>
              <w:jc w:val="center"/>
              <w:rPr>
                <w:sz w:val="18"/>
                <w:szCs w:val="18"/>
              </w:rPr>
            </w:pPr>
            <w:r>
              <w:rPr>
                <w:rFonts w:hint="eastAsia"/>
                <w:sz w:val="18"/>
                <w:szCs w:val="18"/>
              </w:rPr>
              <w:t>通州Tongzhou</w:t>
            </w:r>
          </w:p>
        </w:tc>
        <w:tc>
          <w:tcPr>
            <w:tcW w:w="545" w:type="pct"/>
            <w:shd w:val="clear" w:color="auto" w:fill="auto"/>
            <w:vAlign w:val="center"/>
          </w:tcPr>
          <w:p w14:paraId="532072EB">
            <w:pPr>
              <w:jc w:val="center"/>
              <w:rPr>
                <w:sz w:val="18"/>
                <w:szCs w:val="18"/>
              </w:rPr>
            </w:pPr>
            <w:r>
              <w:rPr>
                <w:sz w:val="18"/>
                <w:szCs w:val="18"/>
              </w:rPr>
              <w:t>60</w:t>
            </w:r>
          </w:p>
        </w:tc>
        <w:tc>
          <w:tcPr>
            <w:tcW w:w="721" w:type="pct"/>
            <w:shd w:val="clear" w:color="auto" w:fill="auto"/>
            <w:vAlign w:val="center"/>
          </w:tcPr>
          <w:p w14:paraId="7CB469F8">
            <w:pPr>
              <w:jc w:val="center"/>
              <w:rPr>
                <w:sz w:val="18"/>
                <w:szCs w:val="18"/>
              </w:rPr>
            </w:pPr>
            <w:r>
              <w:rPr>
                <w:rFonts w:hint="eastAsia"/>
                <w:sz w:val="18"/>
                <w:szCs w:val="18"/>
              </w:rPr>
              <w:t>2(3.33%)</w:t>
            </w:r>
            <w:r>
              <w:rPr>
                <w:sz w:val="18"/>
                <w:szCs w:val="18"/>
                <w:vertAlign w:val="superscript"/>
              </w:rPr>
              <w:t>a</w:t>
            </w:r>
          </w:p>
        </w:tc>
        <w:tc>
          <w:tcPr>
            <w:tcW w:w="1000" w:type="pct"/>
            <w:shd w:val="clear" w:color="auto" w:fill="auto"/>
            <w:vAlign w:val="center"/>
          </w:tcPr>
          <w:p w14:paraId="4AD363C8">
            <w:pPr>
              <w:jc w:val="center"/>
              <w:rPr>
                <w:sz w:val="18"/>
                <w:szCs w:val="18"/>
              </w:rPr>
            </w:pPr>
            <w:r>
              <w:rPr>
                <w:rFonts w:hint="eastAsia"/>
                <w:sz w:val="18"/>
                <w:szCs w:val="18"/>
              </w:rPr>
              <w:t>1</w:t>
            </w:r>
          </w:p>
        </w:tc>
        <w:tc>
          <w:tcPr>
            <w:tcW w:w="774" w:type="pct"/>
            <w:shd w:val="clear" w:color="auto" w:fill="auto"/>
            <w:vAlign w:val="center"/>
          </w:tcPr>
          <w:p w14:paraId="09A875CD">
            <w:pPr>
              <w:jc w:val="center"/>
              <w:rPr>
                <w:sz w:val="18"/>
                <w:szCs w:val="18"/>
              </w:rPr>
            </w:pPr>
            <w:r>
              <w:rPr>
                <w:rFonts w:hint="eastAsia"/>
                <w:sz w:val="18"/>
                <w:szCs w:val="18"/>
              </w:rPr>
              <w:t>2</w:t>
            </w:r>
          </w:p>
        </w:tc>
        <w:tc>
          <w:tcPr>
            <w:tcW w:w="690" w:type="pct"/>
            <w:shd w:val="clear" w:color="auto" w:fill="auto"/>
            <w:vAlign w:val="center"/>
          </w:tcPr>
          <w:p w14:paraId="5EA389C9">
            <w:pPr>
              <w:jc w:val="center"/>
              <w:rPr>
                <w:sz w:val="18"/>
                <w:szCs w:val="18"/>
              </w:rPr>
            </w:pPr>
            <w:r>
              <w:rPr>
                <w:rFonts w:hint="eastAsia"/>
                <w:sz w:val="18"/>
                <w:szCs w:val="18"/>
              </w:rPr>
              <w:t>0</w:t>
            </w:r>
            <w:r>
              <w:rPr>
                <w:sz w:val="18"/>
                <w:szCs w:val="18"/>
              </w:rPr>
              <w:t>.41-11.53</w:t>
            </w:r>
          </w:p>
        </w:tc>
      </w:tr>
      <w:tr w14:paraId="3639AB81">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14" w:type="pct"/>
            <w:vMerge w:val="continue"/>
            <w:shd w:val="clear" w:color="auto" w:fill="auto"/>
            <w:vAlign w:val="center"/>
          </w:tcPr>
          <w:p w14:paraId="4931AA8D">
            <w:pPr>
              <w:jc w:val="center"/>
              <w:rPr>
                <w:sz w:val="18"/>
                <w:szCs w:val="18"/>
              </w:rPr>
            </w:pPr>
          </w:p>
        </w:tc>
        <w:tc>
          <w:tcPr>
            <w:tcW w:w="656" w:type="pct"/>
            <w:shd w:val="clear" w:color="auto" w:fill="auto"/>
            <w:vAlign w:val="center"/>
          </w:tcPr>
          <w:p w14:paraId="21F0548B">
            <w:pPr>
              <w:jc w:val="center"/>
              <w:rPr>
                <w:sz w:val="18"/>
                <w:szCs w:val="18"/>
              </w:rPr>
            </w:pPr>
            <w:r>
              <w:rPr>
                <w:rFonts w:hint="eastAsia"/>
                <w:sz w:val="18"/>
                <w:szCs w:val="18"/>
              </w:rPr>
              <w:t>小计Total</w:t>
            </w:r>
          </w:p>
        </w:tc>
        <w:tc>
          <w:tcPr>
            <w:tcW w:w="545" w:type="pct"/>
            <w:shd w:val="clear" w:color="auto" w:fill="auto"/>
            <w:vAlign w:val="center"/>
          </w:tcPr>
          <w:p w14:paraId="7C154B5A">
            <w:pPr>
              <w:jc w:val="center"/>
              <w:rPr>
                <w:sz w:val="18"/>
                <w:szCs w:val="18"/>
              </w:rPr>
            </w:pPr>
            <w:r>
              <w:rPr>
                <w:sz w:val="18"/>
                <w:szCs w:val="18"/>
              </w:rPr>
              <w:t>143</w:t>
            </w:r>
          </w:p>
        </w:tc>
        <w:tc>
          <w:tcPr>
            <w:tcW w:w="721" w:type="pct"/>
            <w:shd w:val="clear" w:color="auto" w:fill="auto"/>
            <w:vAlign w:val="center"/>
          </w:tcPr>
          <w:p w14:paraId="52C67FD0">
            <w:pPr>
              <w:jc w:val="center"/>
              <w:rPr>
                <w:sz w:val="18"/>
                <w:szCs w:val="18"/>
              </w:rPr>
            </w:pPr>
            <w:r>
              <w:rPr>
                <w:rFonts w:hint="eastAsia"/>
                <w:sz w:val="18"/>
                <w:szCs w:val="18"/>
              </w:rPr>
              <w:t>11（7.69%）</w:t>
            </w:r>
          </w:p>
        </w:tc>
        <w:tc>
          <w:tcPr>
            <w:tcW w:w="1000" w:type="pct"/>
            <w:shd w:val="clear" w:color="auto" w:fill="auto"/>
            <w:vAlign w:val="center"/>
          </w:tcPr>
          <w:p w14:paraId="55AD2598">
            <w:pPr>
              <w:jc w:val="center"/>
              <w:rPr>
                <w:sz w:val="18"/>
                <w:szCs w:val="18"/>
              </w:rPr>
            </w:pPr>
          </w:p>
        </w:tc>
        <w:tc>
          <w:tcPr>
            <w:tcW w:w="774" w:type="pct"/>
            <w:shd w:val="clear" w:color="auto" w:fill="auto"/>
            <w:vAlign w:val="center"/>
          </w:tcPr>
          <w:p w14:paraId="3A41FD2A">
            <w:pPr>
              <w:jc w:val="center"/>
              <w:rPr>
                <w:sz w:val="18"/>
                <w:szCs w:val="18"/>
              </w:rPr>
            </w:pPr>
            <w:r>
              <w:rPr>
                <w:rFonts w:hint="eastAsia"/>
                <w:sz w:val="18"/>
                <w:szCs w:val="18"/>
              </w:rPr>
              <w:t>27</w:t>
            </w:r>
          </w:p>
        </w:tc>
        <w:tc>
          <w:tcPr>
            <w:tcW w:w="690" w:type="pct"/>
            <w:shd w:val="clear" w:color="auto" w:fill="auto"/>
            <w:vAlign w:val="center"/>
          </w:tcPr>
          <w:p w14:paraId="1135F649">
            <w:pPr>
              <w:jc w:val="center"/>
              <w:rPr>
                <w:sz w:val="18"/>
                <w:szCs w:val="18"/>
              </w:rPr>
            </w:pPr>
            <w:r>
              <w:rPr>
                <w:rFonts w:hint="eastAsia"/>
                <w:szCs w:val="21"/>
              </w:rPr>
              <w:t>3</w:t>
            </w:r>
            <w:r>
              <w:rPr>
                <w:szCs w:val="21"/>
              </w:rPr>
              <w:t>.90-13.35</w:t>
            </w:r>
          </w:p>
        </w:tc>
      </w:tr>
      <w:tr w14:paraId="78A572AA">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14" w:type="pct"/>
            <w:shd w:val="clear" w:color="auto" w:fill="auto"/>
            <w:vAlign w:val="center"/>
          </w:tcPr>
          <w:p w14:paraId="7E704647">
            <w:pPr>
              <w:jc w:val="center"/>
              <w:rPr>
                <w:sz w:val="18"/>
                <w:szCs w:val="18"/>
              </w:rPr>
            </w:pPr>
            <w:r>
              <w:rPr>
                <w:rFonts w:hint="eastAsia"/>
                <w:sz w:val="18"/>
                <w:szCs w:val="18"/>
              </w:rPr>
              <w:t>浙江</w:t>
            </w:r>
            <w:r>
              <w:rPr>
                <w:sz w:val="18"/>
                <w:szCs w:val="18"/>
              </w:rPr>
              <w:t>Zhejiang</w:t>
            </w:r>
          </w:p>
        </w:tc>
        <w:tc>
          <w:tcPr>
            <w:tcW w:w="656" w:type="pct"/>
            <w:shd w:val="clear" w:color="auto" w:fill="auto"/>
            <w:vAlign w:val="center"/>
          </w:tcPr>
          <w:p w14:paraId="3AA5C785">
            <w:pPr>
              <w:jc w:val="center"/>
              <w:rPr>
                <w:sz w:val="18"/>
                <w:szCs w:val="18"/>
              </w:rPr>
            </w:pPr>
            <w:r>
              <w:rPr>
                <w:rFonts w:hint="eastAsia"/>
                <w:sz w:val="18"/>
                <w:szCs w:val="18"/>
              </w:rPr>
              <w:t>嘉善</w:t>
            </w:r>
            <w:r>
              <w:rPr>
                <w:sz w:val="18"/>
                <w:szCs w:val="18"/>
              </w:rPr>
              <w:t>Jiashan</w:t>
            </w:r>
          </w:p>
        </w:tc>
        <w:tc>
          <w:tcPr>
            <w:tcW w:w="545" w:type="pct"/>
            <w:shd w:val="clear" w:color="auto" w:fill="auto"/>
            <w:vAlign w:val="center"/>
          </w:tcPr>
          <w:p w14:paraId="7A0FDBC8">
            <w:pPr>
              <w:jc w:val="center"/>
              <w:rPr>
                <w:sz w:val="18"/>
                <w:szCs w:val="18"/>
              </w:rPr>
            </w:pPr>
            <w:r>
              <w:rPr>
                <w:sz w:val="18"/>
                <w:szCs w:val="18"/>
              </w:rPr>
              <w:t>25</w:t>
            </w:r>
          </w:p>
        </w:tc>
        <w:tc>
          <w:tcPr>
            <w:tcW w:w="721" w:type="pct"/>
            <w:shd w:val="clear" w:color="auto" w:fill="auto"/>
            <w:vAlign w:val="center"/>
          </w:tcPr>
          <w:p w14:paraId="5532EDB4">
            <w:pPr>
              <w:jc w:val="center"/>
              <w:rPr>
                <w:sz w:val="18"/>
                <w:szCs w:val="18"/>
              </w:rPr>
            </w:pPr>
            <w:r>
              <w:rPr>
                <w:rFonts w:hint="eastAsia"/>
                <w:sz w:val="18"/>
                <w:szCs w:val="18"/>
              </w:rPr>
              <w:t>0(0)</w:t>
            </w:r>
            <w:r>
              <w:rPr>
                <w:sz w:val="18"/>
                <w:szCs w:val="18"/>
                <w:vertAlign w:val="superscript"/>
              </w:rPr>
              <w:t>a</w:t>
            </w:r>
          </w:p>
        </w:tc>
        <w:tc>
          <w:tcPr>
            <w:tcW w:w="1000" w:type="pct"/>
            <w:shd w:val="clear" w:color="auto" w:fill="auto"/>
            <w:vAlign w:val="center"/>
          </w:tcPr>
          <w:p w14:paraId="7B44BA9F">
            <w:pPr>
              <w:jc w:val="center"/>
              <w:rPr>
                <w:sz w:val="18"/>
                <w:szCs w:val="18"/>
              </w:rPr>
            </w:pPr>
            <w:r>
              <w:rPr>
                <w:rFonts w:hint="eastAsia"/>
                <w:sz w:val="18"/>
                <w:szCs w:val="18"/>
              </w:rPr>
              <w:t>0</w:t>
            </w:r>
          </w:p>
        </w:tc>
        <w:tc>
          <w:tcPr>
            <w:tcW w:w="774" w:type="pct"/>
            <w:shd w:val="clear" w:color="auto" w:fill="auto"/>
            <w:vAlign w:val="center"/>
          </w:tcPr>
          <w:p w14:paraId="206E7F49">
            <w:pPr>
              <w:jc w:val="center"/>
              <w:rPr>
                <w:sz w:val="18"/>
                <w:szCs w:val="18"/>
              </w:rPr>
            </w:pPr>
            <w:r>
              <w:rPr>
                <w:rFonts w:hint="eastAsia"/>
                <w:sz w:val="18"/>
                <w:szCs w:val="18"/>
              </w:rPr>
              <w:t>0</w:t>
            </w:r>
          </w:p>
        </w:tc>
        <w:tc>
          <w:tcPr>
            <w:tcW w:w="690" w:type="pct"/>
            <w:shd w:val="clear" w:color="auto" w:fill="auto"/>
            <w:vAlign w:val="center"/>
          </w:tcPr>
          <w:p w14:paraId="70BAFAF0">
            <w:pPr>
              <w:jc w:val="center"/>
              <w:rPr>
                <w:sz w:val="18"/>
                <w:szCs w:val="18"/>
              </w:rPr>
            </w:pPr>
            <w:r>
              <w:rPr>
                <w:rFonts w:hint="eastAsia"/>
                <w:sz w:val="18"/>
                <w:szCs w:val="18"/>
              </w:rPr>
              <w:t>0</w:t>
            </w:r>
            <w:r>
              <w:rPr>
                <w:sz w:val="18"/>
                <w:szCs w:val="18"/>
              </w:rPr>
              <w:t>-13.72</w:t>
            </w:r>
          </w:p>
        </w:tc>
      </w:tr>
      <w:tr w14:paraId="1EA360B6">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270" w:type="pct"/>
            <w:gridSpan w:val="2"/>
            <w:shd w:val="clear" w:color="auto" w:fill="auto"/>
            <w:vAlign w:val="center"/>
          </w:tcPr>
          <w:p w14:paraId="69ADDCD9">
            <w:pPr>
              <w:jc w:val="center"/>
              <w:rPr>
                <w:sz w:val="18"/>
                <w:szCs w:val="18"/>
              </w:rPr>
            </w:pPr>
            <w:r>
              <w:rPr>
                <w:rFonts w:hint="eastAsia"/>
                <w:sz w:val="18"/>
                <w:szCs w:val="18"/>
              </w:rPr>
              <w:t>Total</w:t>
            </w:r>
          </w:p>
        </w:tc>
        <w:tc>
          <w:tcPr>
            <w:tcW w:w="545" w:type="pct"/>
            <w:shd w:val="clear" w:color="auto" w:fill="auto"/>
            <w:vAlign w:val="center"/>
          </w:tcPr>
          <w:p w14:paraId="483F0D80">
            <w:pPr>
              <w:jc w:val="center"/>
              <w:rPr>
                <w:sz w:val="18"/>
                <w:szCs w:val="18"/>
              </w:rPr>
            </w:pPr>
            <w:r>
              <w:rPr>
                <w:rFonts w:hint="eastAsia"/>
                <w:sz w:val="18"/>
                <w:szCs w:val="18"/>
              </w:rPr>
              <w:t>263</w:t>
            </w:r>
          </w:p>
        </w:tc>
        <w:tc>
          <w:tcPr>
            <w:tcW w:w="721" w:type="pct"/>
            <w:shd w:val="clear" w:color="auto" w:fill="auto"/>
            <w:vAlign w:val="center"/>
          </w:tcPr>
          <w:p w14:paraId="335BE8F9">
            <w:pPr>
              <w:jc w:val="center"/>
              <w:rPr>
                <w:sz w:val="18"/>
                <w:szCs w:val="18"/>
              </w:rPr>
            </w:pPr>
            <w:r>
              <w:rPr>
                <w:rFonts w:hint="eastAsia"/>
                <w:sz w:val="18"/>
                <w:szCs w:val="18"/>
              </w:rPr>
              <w:t>1</w:t>
            </w:r>
            <w:r>
              <w:rPr>
                <w:sz w:val="18"/>
                <w:szCs w:val="18"/>
              </w:rPr>
              <w:t>9</w:t>
            </w:r>
            <w:r>
              <w:rPr>
                <w:rFonts w:hint="eastAsia"/>
                <w:sz w:val="18"/>
                <w:szCs w:val="18"/>
              </w:rPr>
              <w:t>(</w:t>
            </w:r>
            <w:r>
              <w:rPr>
                <w:sz w:val="18"/>
                <w:szCs w:val="18"/>
              </w:rPr>
              <w:t>7.22</w:t>
            </w:r>
            <w:r>
              <w:rPr>
                <w:rFonts w:hint="eastAsia"/>
                <w:sz w:val="18"/>
                <w:szCs w:val="18"/>
              </w:rPr>
              <w:t>%)</w:t>
            </w:r>
          </w:p>
        </w:tc>
        <w:tc>
          <w:tcPr>
            <w:tcW w:w="1000" w:type="pct"/>
            <w:shd w:val="clear" w:color="auto" w:fill="auto"/>
            <w:vAlign w:val="center"/>
          </w:tcPr>
          <w:p w14:paraId="221AC853">
            <w:pPr>
              <w:jc w:val="center"/>
              <w:rPr>
                <w:sz w:val="18"/>
                <w:szCs w:val="18"/>
              </w:rPr>
            </w:pPr>
            <w:r>
              <w:rPr>
                <w:rFonts w:hint="eastAsia"/>
                <w:sz w:val="18"/>
                <w:szCs w:val="18"/>
              </w:rPr>
              <w:t>1-</w:t>
            </w:r>
            <w:r>
              <w:rPr>
                <w:sz w:val="18"/>
                <w:szCs w:val="18"/>
              </w:rPr>
              <w:t>11</w:t>
            </w:r>
          </w:p>
        </w:tc>
        <w:tc>
          <w:tcPr>
            <w:tcW w:w="774" w:type="pct"/>
            <w:shd w:val="clear" w:color="auto" w:fill="auto"/>
            <w:vAlign w:val="center"/>
          </w:tcPr>
          <w:p w14:paraId="5DE17139">
            <w:pPr>
              <w:jc w:val="center"/>
              <w:rPr>
                <w:sz w:val="18"/>
                <w:szCs w:val="18"/>
              </w:rPr>
            </w:pPr>
            <w:r>
              <w:rPr>
                <w:sz w:val="18"/>
                <w:szCs w:val="18"/>
              </w:rPr>
              <w:t>39</w:t>
            </w:r>
          </w:p>
        </w:tc>
        <w:tc>
          <w:tcPr>
            <w:tcW w:w="690" w:type="pct"/>
            <w:shd w:val="clear" w:color="auto" w:fill="auto"/>
            <w:vAlign w:val="center"/>
          </w:tcPr>
          <w:p w14:paraId="4213579E">
            <w:pPr>
              <w:jc w:val="center"/>
              <w:rPr>
                <w:sz w:val="18"/>
                <w:szCs w:val="18"/>
              </w:rPr>
            </w:pPr>
            <w:r>
              <w:rPr>
                <w:sz w:val="18"/>
                <w:szCs w:val="18"/>
              </w:rPr>
              <w:t>4.41-11.05</w:t>
            </w:r>
          </w:p>
        </w:tc>
      </w:tr>
    </w:tbl>
    <w:p w14:paraId="740E6D35">
      <w:pPr>
        <w:adjustRightInd w:val="0"/>
        <w:snapToGrid w:val="0"/>
        <w:jc w:val="left"/>
        <w:rPr>
          <w:szCs w:val="21"/>
        </w:rPr>
      </w:pPr>
      <w:r>
        <w:rPr>
          <w:rFonts w:hint="eastAsia"/>
          <w:szCs w:val="21"/>
        </w:rPr>
        <w:t>N</w:t>
      </w:r>
      <w:r>
        <w:rPr>
          <w:szCs w:val="21"/>
        </w:rPr>
        <w:t xml:space="preserve">ote: </w:t>
      </w:r>
      <w:r>
        <w:rPr>
          <w:rFonts w:hint="eastAsia"/>
          <w:szCs w:val="21"/>
        </w:rPr>
        <w:t>Same</w:t>
      </w:r>
      <w:r>
        <w:rPr>
          <w:szCs w:val="21"/>
        </w:rPr>
        <w:t xml:space="preserve"> lowercase letter within columns represent </w:t>
      </w:r>
      <w:r>
        <w:rPr>
          <w:rFonts w:hint="eastAsia"/>
          <w:szCs w:val="21"/>
        </w:rPr>
        <w:t xml:space="preserve">no </w:t>
      </w:r>
      <w:r>
        <w:rPr>
          <w:szCs w:val="21"/>
        </w:rPr>
        <w:t>significant differences between groups (</w:t>
      </w:r>
      <w:r>
        <w:rPr>
          <w:rFonts w:hint="eastAsia"/>
          <w:i/>
          <w:iCs/>
          <w:szCs w:val="21"/>
        </w:rPr>
        <w:t>p</w:t>
      </w:r>
      <w:r>
        <w:rPr>
          <w:i/>
          <w:iCs/>
          <w:szCs w:val="21"/>
        </w:rPr>
        <w:t xml:space="preserve"> </w:t>
      </w:r>
      <w:r>
        <w:rPr>
          <w:iCs/>
          <w:szCs w:val="21"/>
        </w:rPr>
        <w:t>&gt;</w:t>
      </w:r>
      <w:r>
        <w:rPr>
          <w:szCs w:val="21"/>
        </w:rPr>
        <w:t xml:space="preserve"> 0.05).</w:t>
      </w:r>
    </w:p>
    <w:bookmarkEnd w:id="2"/>
    <w:bookmarkEnd w:id="3"/>
    <w:p w14:paraId="6A10BEA5">
      <w:pPr>
        <w:adjustRightInd w:val="0"/>
        <w:snapToGrid w:val="0"/>
        <w:spacing w:line="360" w:lineRule="auto"/>
        <w:jc w:val="left"/>
        <w:rPr>
          <w:sz w:val="24"/>
        </w:rPr>
      </w:pPr>
    </w:p>
    <w:p w14:paraId="774BD8DD">
      <w:pPr>
        <w:adjustRightInd w:val="0"/>
        <w:snapToGrid w:val="0"/>
        <w:spacing w:line="360" w:lineRule="auto"/>
        <w:jc w:val="left"/>
        <w:rPr>
          <w:sz w:val="24"/>
        </w:rPr>
      </w:pPr>
    </w:p>
    <w:p w14:paraId="0D5DBA3F">
      <w:pPr>
        <w:adjustRightInd w:val="0"/>
        <w:snapToGrid w:val="0"/>
        <w:spacing w:line="360" w:lineRule="auto"/>
        <w:jc w:val="left"/>
        <w:rPr>
          <w:sz w:val="24"/>
        </w:rPr>
      </w:pPr>
    </w:p>
    <w:p w14:paraId="1771CF50">
      <w:pPr>
        <w:adjustRightInd w:val="0"/>
        <w:snapToGrid w:val="0"/>
        <w:spacing w:line="360" w:lineRule="auto"/>
        <w:jc w:val="left"/>
        <w:rPr>
          <w:sz w:val="24"/>
        </w:rPr>
      </w:pPr>
    </w:p>
    <w:p w14:paraId="1411D215">
      <w:pPr>
        <w:adjustRightInd w:val="0"/>
        <w:snapToGrid w:val="0"/>
        <w:spacing w:line="360" w:lineRule="auto"/>
        <w:jc w:val="left"/>
        <w:rPr>
          <w:sz w:val="24"/>
        </w:rPr>
      </w:pPr>
    </w:p>
    <w:p w14:paraId="6C386180">
      <w:pPr>
        <w:jc w:val="center"/>
      </w:pPr>
      <w:r>
        <w:drawing>
          <wp:inline distT="0" distB="0" distL="0" distR="0">
            <wp:extent cx="3122930" cy="2812415"/>
            <wp:effectExtent l="0" t="0" r="1270" b="0"/>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pic:cNvPicPr>
                      <a:picLocks noChangeAspect="1" noChangeArrowheads="1"/>
                    </pic:cNvPicPr>
                  </pic:nvPicPr>
                  <pic:blipFill>
                    <a:blip r:embed="rId5" cstate="print"/>
                    <a:srcRect/>
                    <a:stretch>
                      <a:fillRect/>
                    </a:stretch>
                  </pic:blipFill>
                  <pic:spPr>
                    <a:xfrm>
                      <a:off x="0" y="0"/>
                      <a:ext cx="3122930" cy="2812415"/>
                    </a:xfrm>
                    <a:prstGeom prst="rect">
                      <a:avLst/>
                    </a:prstGeom>
                    <a:noFill/>
                    <a:ln w="9525">
                      <a:noFill/>
                      <a:miter lim="800000"/>
                      <a:headEnd/>
                      <a:tailEnd/>
                    </a:ln>
                  </pic:spPr>
                </pic:pic>
              </a:graphicData>
            </a:graphic>
          </wp:inline>
        </w:drawing>
      </w:r>
    </w:p>
    <w:p w14:paraId="2A739274">
      <w:pPr>
        <w:adjustRightInd w:val="0"/>
        <w:snapToGrid w:val="0"/>
        <w:spacing w:line="360" w:lineRule="auto"/>
        <w:jc w:val="center"/>
        <w:rPr>
          <w:b/>
          <w:color w:val="000000"/>
          <w:kern w:val="0"/>
        </w:rPr>
      </w:pPr>
      <w:r>
        <w:rPr>
          <w:b/>
          <w:color w:val="000000"/>
          <w:kern w:val="0"/>
        </w:rPr>
        <w:t>图</w:t>
      </w:r>
      <w:r>
        <w:rPr>
          <w:rFonts w:hint="eastAsia"/>
          <w:b/>
          <w:color w:val="000000"/>
          <w:kern w:val="0"/>
        </w:rPr>
        <w:t>1</w:t>
      </w:r>
      <w:r>
        <w:rPr>
          <w:b/>
          <w:color w:val="000000"/>
          <w:kern w:val="0"/>
        </w:rPr>
        <w:t>青蛙体内迭宫绦虫裂头蚴寄生位置</w:t>
      </w:r>
    </w:p>
    <w:p w14:paraId="40A21C81">
      <w:pPr>
        <w:adjustRightInd w:val="0"/>
        <w:snapToGrid w:val="0"/>
        <w:spacing w:line="360" w:lineRule="auto"/>
        <w:jc w:val="center"/>
        <w:rPr>
          <w:b/>
          <w:color w:val="000000"/>
          <w:kern w:val="0"/>
          <w:szCs w:val="21"/>
        </w:rPr>
      </w:pPr>
      <w:r>
        <w:rPr>
          <w:b/>
          <w:color w:val="000000"/>
          <w:kern w:val="0"/>
          <w:szCs w:val="21"/>
        </w:rPr>
        <w:t xml:space="preserve">Fig </w:t>
      </w:r>
      <w:r>
        <w:rPr>
          <w:rFonts w:hint="eastAsia"/>
          <w:b/>
          <w:color w:val="000000"/>
          <w:kern w:val="0"/>
          <w:szCs w:val="21"/>
        </w:rPr>
        <w:t>1</w:t>
      </w:r>
      <w:r>
        <w:rPr>
          <w:b/>
          <w:color w:val="000000"/>
          <w:kern w:val="0"/>
          <w:szCs w:val="21"/>
        </w:rPr>
        <w:t xml:space="preserve"> Parasite sites of </w:t>
      </w:r>
      <w:r>
        <w:rPr>
          <w:b/>
          <w:i/>
          <w:color w:val="000000"/>
          <w:kern w:val="0"/>
          <w:szCs w:val="21"/>
        </w:rPr>
        <w:t>Spirometra</w:t>
      </w:r>
      <w:r>
        <w:rPr>
          <w:b/>
          <w:color w:val="000000"/>
          <w:kern w:val="0"/>
          <w:szCs w:val="21"/>
        </w:rPr>
        <w:t xml:space="preserve"> spargana in frogs</w:t>
      </w:r>
    </w:p>
    <w:p w14:paraId="354525B8">
      <w:pPr>
        <w:adjustRightInd w:val="0"/>
        <w:snapToGrid w:val="0"/>
        <w:spacing w:line="360" w:lineRule="auto"/>
        <w:rPr>
          <w:color w:val="000000"/>
          <w:kern w:val="0"/>
        </w:rPr>
      </w:pPr>
      <w:r>
        <w:rPr>
          <w:color w:val="000000"/>
          <w:kern w:val="0"/>
        </w:rPr>
        <w:t>A-F：寄生于蛙腿骨骼肌的</w:t>
      </w:r>
      <w:r>
        <w:rPr>
          <w:rFonts w:hint="eastAsia"/>
          <w:color w:val="000000"/>
          <w:kern w:val="0"/>
        </w:rPr>
        <w:t>裂头蚴；</w:t>
      </w:r>
      <w:r>
        <w:rPr>
          <w:color w:val="000000"/>
          <w:kern w:val="0"/>
        </w:rPr>
        <w:t>A</w:t>
      </w:r>
      <w:r>
        <w:rPr>
          <w:rFonts w:hint="eastAsia"/>
          <w:color w:val="000000"/>
          <w:kern w:val="0"/>
        </w:rPr>
        <w:t>：呈</w:t>
      </w:r>
      <w:r>
        <w:rPr>
          <w:color w:val="000000"/>
          <w:kern w:val="0"/>
        </w:rPr>
        <w:t>棉</w:t>
      </w:r>
      <w:r>
        <w:rPr>
          <w:rFonts w:hint="eastAsia"/>
          <w:color w:val="000000"/>
          <w:kern w:val="0"/>
        </w:rPr>
        <w:t>线</w:t>
      </w:r>
      <w:r>
        <w:rPr>
          <w:color w:val="000000"/>
          <w:kern w:val="0"/>
        </w:rPr>
        <w:t>状</w:t>
      </w:r>
      <w:r>
        <w:rPr>
          <w:rFonts w:hint="eastAsia"/>
          <w:color w:val="000000"/>
          <w:kern w:val="0"/>
        </w:rPr>
        <w:t>的</w:t>
      </w:r>
      <w:r>
        <w:rPr>
          <w:color w:val="000000"/>
          <w:kern w:val="0"/>
        </w:rPr>
        <w:t>寄生蠕虫</w:t>
      </w:r>
      <w:r>
        <w:rPr>
          <w:rFonts w:hint="eastAsia"/>
          <w:color w:val="000000"/>
          <w:kern w:val="0"/>
        </w:rPr>
        <w:t>；</w:t>
      </w:r>
      <w:r>
        <w:rPr>
          <w:color w:val="000000"/>
          <w:kern w:val="0"/>
        </w:rPr>
        <w:t>B</w:t>
      </w:r>
      <w:r>
        <w:rPr>
          <w:rFonts w:hint="eastAsia"/>
          <w:color w:val="000000"/>
          <w:kern w:val="0"/>
        </w:rPr>
        <w:t>：</w:t>
      </w:r>
      <w:r>
        <w:rPr>
          <w:color w:val="000000"/>
          <w:kern w:val="0"/>
        </w:rPr>
        <w:t>剥离肌纤维后，</w:t>
      </w:r>
      <w:r>
        <w:rPr>
          <w:rFonts w:hint="eastAsia"/>
          <w:color w:val="000000"/>
          <w:kern w:val="0"/>
        </w:rPr>
        <w:t>伸出的裂头蚴头节；</w:t>
      </w:r>
      <w:r>
        <w:rPr>
          <w:color w:val="000000"/>
          <w:kern w:val="0"/>
        </w:rPr>
        <w:t>C</w:t>
      </w:r>
      <w:r>
        <w:rPr>
          <w:rFonts w:hint="eastAsia"/>
          <w:color w:val="000000"/>
          <w:kern w:val="0"/>
        </w:rPr>
        <w:t>：</w:t>
      </w:r>
      <w:r>
        <w:rPr>
          <w:color w:val="000000"/>
          <w:kern w:val="0"/>
        </w:rPr>
        <w:t>寄生部位有出血现象</w:t>
      </w:r>
      <w:r>
        <w:rPr>
          <w:rFonts w:hint="eastAsia"/>
          <w:color w:val="000000"/>
          <w:kern w:val="0"/>
        </w:rPr>
        <w:t>；</w:t>
      </w:r>
      <w:r>
        <w:rPr>
          <w:color w:val="000000"/>
          <w:kern w:val="0"/>
        </w:rPr>
        <w:t>D</w:t>
      </w:r>
      <w:r>
        <w:rPr>
          <w:rFonts w:hint="eastAsia"/>
          <w:color w:val="000000"/>
          <w:kern w:val="0"/>
        </w:rPr>
        <w:t>：</w:t>
      </w:r>
      <w:r>
        <w:rPr>
          <w:color w:val="000000"/>
          <w:kern w:val="0"/>
        </w:rPr>
        <w:t>寄生于同侧大腿肌肉上的两个</w:t>
      </w:r>
      <w:r>
        <w:rPr>
          <w:rFonts w:hint="eastAsia"/>
          <w:color w:val="000000"/>
          <w:kern w:val="0"/>
        </w:rPr>
        <w:t>裂头蚴</w:t>
      </w:r>
      <w:r>
        <w:rPr>
          <w:color w:val="000000"/>
          <w:kern w:val="0"/>
        </w:rPr>
        <w:t>，一个</w:t>
      </w:r>
      <w:r>
        <w:rPr>
          <w:rFonts w:hint="eastAsia"/>
          <w:color w:val="000000"/>
          <w:kern w:val="0"/>
        </w:rPr>
        <w:t>呈</w:t>
      </w:r>
      <w:r>
        <w:rPr>
          <w:color w:val="000000"/>
          <w:kern w:val="0"/>
        </w:rPr>
        <w:t>线性折叠，一个</w:t>
      </w:r>
      <w:r>
        <w:rPr>
          <w:rFonts w:hint="eastAsia"/>
          <w:color w:val="000000"/>
          <w:kern w:val="0"/>
        </w:rPr>
        <w:t>呈</w:t>
      </w:r>
      <w:r>
        <w:rPr>
          <w:color w:val="000000"/>
          <w:kern w:val="0"/>
        </w:rPr>
        <w:t>卷曲</w:t>
      </w:r>
      <w:r>
        <w:rPr>
          <w:rFonts w:hint="eastAsia"/>
          <w:color w:val="000000"/>
          <w:kern w:val="0"/>
        </w:rPr>
        <w:t>状；</w:t>
      </w:r>
      <w:r>
        <w:rPr>
          <w:color w:val="000000"/>
          <w:kern w:val="0"/>
        </w:rPr>
        <w:t>E</w:t>
      </w:r>
      <w:r>
        <w:rPr>
          <w:rFonts w:hint="eastAsia"/>
          <w:color w:val="000000"/>
          <w:kern w:val="0"/>
        </w:rPr>
        <w:t>：</w:t>
      </w:r>
      <w:r>
        <w:rPr>
          <w:color w:val="000000"/>
          <w:kern w:val="0"/>
        </w:rPr>
        <w:t>寄生于</w:t>
      </w:r>
      <w:r>
        <w:rPr>
          <w:rFonts w:hint="eastAsia"/>
          <w:color w:val="000000"/>
          <w:kern w:val="0"/>
        </w:rPr>
        <w:t>两只</w:t>
      </w:r>
      <w:r>
        <w:rPr>
          <w:color w:val="000000"/>
          <w:kern w:val="0"/>
        </w:rPr>
        <w:t>大腿</w:t>
      </w:r>
      <w:r>
        <w:rPr>
          <w:rFonts w:hint="eastAsia"/>
          <w:color w:val="000000"/>
          <w:kern w:val="0"/>
        </w:rPr>
        <w:t>肌肉中；F：</w:t>
      </w:r>
      <w:r>
        <w:rPr>
          <w:color w:val="000000"/>
          <w:kern w:val="0"/>
        </w:rPr>
        <w:t>三</w:t>
      </w:r>
      <w:r>
        <w:rPr>
          <w:rFonts w:hint="eastAsia"/>
          <w:color w:val="000000"/>
          <w:kern w:val="0"/>
        </w:rPr>
        <w:t>条裂头蚴</w:t>
      </w:r>
      <w:r>
        <w:rPr>
          <w:color w:val="000000"/>
          <w:kern w:val="0"/>
        </w:rPr>
        <w:t>均寄生于同一侧边，且长度不同</w:t>
      </w:r>
      <w:r>
        <w:rPr>
          <w:rFonts w:hint="eastAsia"/>
          <w:color w:val="000000"/>
          <w:kern w:val="0"/>
        </w:rPr>
        <w:t>；</w:t>
      </w:r>
      <w:r>
        <w:rPr>
          <w:color w:val="000000"/>
          <w:kern w:val="0"/>
        </w:rPr>
        <w:t>G</w:t>
      </w:r>
      <w:r>
        <w:rPr>
          <w:rFonts w:hint="eastAsia"/>
          <w:color w:val="000000"/>
          <w:kern w:val="0"/>
        </w:rPr>
        <w:t>：</w:t>
      </w:r>
      <w:r>
        <w:rPr>
          <w:color w:val="000000"/>
          <w:kern w:val="0"/>
        </w:rPr>
        <w:t>一</w:t>
      </w:r>
      <w:r>
        <w:rPr>
          <w:rFonts w:hint="eastAsia"/>
          <w:color w:val="000000"/>
          <w:kern w:val="0"/>
        </w:rPr>
        <w:t>条</w:t>
      </w:r>
      <w:r>
        <w:rPr>
          <w:color w:val="000000"/>
          <w:kern w:val="0"/>
        </w:rPr>
        <w:t>寄生在背肌上的</w:t>
      </w:r>
      <w:r>
        <w:rPr>
          <w:rFonts w:hint="eastAsia"/>
          <w:color w:val="000000"/>
          <w:kern w:val="0"/>
        </w:rPr>
        <w:t>裂头蚴，呈卷曲状；</w:t>
      </w:r>
      <w:r>
        <w:rPr>
          <w:color w:val="000000"/>
          <w:kern w:val="0"/>
        </w:rPr>
        <w:t>H</w:t>
      </w:r>
      <w:r>
        <w:rPr>
          <w:rFonts w:hint="eastAsia"/>
          <w:color w:val="000000"/>
          <w:kern w:val="0"/>
        </w:rPr>
        <w:t>：寄生于</w:t>
      </w:r>
      <w:r>
        <w:rPr>
          <w:color w:val="000000"/>
          <w:kern w:val="0"/>
        </w:rPr>
        <w:t>皮下</w:t>
      </w:r>
      <w:r>
        <w:rPr>
          <w:rFonts w:hint="eastAsia"/>
          <w:color w:val="000000"/>
          <w:kern w:val="0"/>
        </w:rPr>
        <w:t>的裂头蚴，</w:t>
      </w:r>
      <w:r>
        <w:rPr>
          <w:color w:val="000000"/>
          <w:kern w:val="0"/>
        </w:rPr>
        <w:t>头部</w:t>
      </w:r>
      <w:r>
        <w:rPr>
          <w:rFonts w:hint="eastAsia"/>
          <w:color w:val="000000"/>
          <w:kern w:val="0"/>
        </w:rPr>
        <w:t>嵌入</w:t>
      </w:r>
      <w:r>
        <w:rPr>
          <w:color w:val="000000"/>
          <w:kern w:val="0"/>
        </w:rPr>
        <w:t>腹壁肌肉</w:t>
      </w:r>
      <w:r>
        <w:rPr>
          <w:rFonts w:hint="eastAsia"/>
          <w:color w:val="000000"/>
          <w:kern w:val="0"/>
        </w:rPr>
        <w:t>中</w:t>
      </w:r>
    </w:p>
    <w:p w14:paraId="2A06B3F7">
      <w:pPr>
        <w:adjustRightInd w:val="0"/>
        <w:snapToGrid w:val="0"/>
        <w:spacing w:line="360" w:lineRule="auto"/>
        <w:rPr>
          <w:color w:val="000000"/>
          <w:kern w:val="0"/>
        </w:rPr>
      </w:pPr>
      <w:r>
        <w:rPr>
          <w:color w:val="000000"/>
          <w:kern w:val="0"/>
        </w:rPr>
        <w:t xml:space="preserve">A-F: </w:t>
      </w:r>
      <w:r>
        <w:rPr>
          <w:rFonts w:hint="eastAsia"/>
          <w:color w:val="000000"/>
          <w:kern w:val="0"/>
        </w:rPr>
        <w:t>S</w:t>
      </w:r>
      <w:r>
        <w:rPr>
          <w:color w:val="000000"/>
          <w:kern w:val="0"/>
        </w:rPr>
        <w:t>pargana parasitized in the skeletal muscle of frog thigh</w:t>
      </w:r>
      <w:r>
        <w:rPr>
          <w:rFonts w:hint="eastAsia"/>
          <w:color w:val="000000"/>
          <w:kern w:val="0"/>
        </w:rPr>
        <w:t>;</w:t>
      </w:r>
      <w:r>
        <w:rPr>
          <w:color w:val="000000"/>
          <w:kern w:val="0"/>
        </w:rPr>
        <w:t xml:space="preserve"> A</w:t>
      </w:r>
      <w:r>
        <w:rPr>
          <w:rFonts w:hint="eastAsia"/>
          <w:color w:val="000000"/>
          <w:kern w:val="0"/>
        </w:rPr>
        <w:t>:</w:t>
      </w:r>
      <w:r>
        <w:rPr>
          <w:color w:val="000000"/>
          <w:kern w:val="0"/>
        </w:rPr>
        <w:t xml:space="preserve"> showed clearly cotton-like parasitic worm; B</w:t>
      </w:r>
      <w:r>
        <w:rPr>
          <w:rFonts w:hint="eastAsia"/>
          <w:color w:val="000000"/>
          <w:kern w:val="0"/>
        </w:rPr>
        <w:t>:</w:t>
      </w:r>
      <w:r>
        <w:rPr>
          <w:color w:val="000000"/>
          <w:kern w:val="0"/>
        </w:rPr>
        <w:t xml:space="preserve"> showed that spargana’s scolex was extruded after stripping muscle fibers; C</w:t>
      </w:r>
      <w:r>
        <w:rPr>
          <w:rFonts w:hint="eastAsia"/>
          <w:color w:val="000000"/>
          <w:kern w:val="0"/>
        </w:rPr>
        <w:t>:</w:t>
      </w:r>
      <w:r>
        <w:rPr>
          <w:color w:val="000000"/>
          <w:kern w:val="0"/>
        </w:rPr>
        <w:t xml:space="preserve"> showed parasitic site had bleeding phenomenon; D</w:t>
      </w:r>
      <w:r>
        <w:rPr>
          <w:rFonts w:hint="eastAsia"/>
          <w:color w:val="000000"/>
          <w:kern w:val="0"/>
        </w:rPr>
        <w:t>:</w:t>
      </w:r>
      <w:r>
        <w:rPr>
          <w:color w:val="000000"/>
          <w:kern w:val="0"/>
        </w:rPr>
        <w:t xml:space="preserve"> two sparganas parasitized in the ipsilateral thigh muscle with one linear fold and one curl up; E</w:t>
      </w:r>
      <w:r>
        <w:rPr>
          <w:rFonts w:hint="eastAsia"/>
          <w:color w:val="000000"/>
          <w:kern w:val="0"/>
        </w:rPr>
        <w:t>:</w:t>
      </w:r>
      <w:r>
        <w:rPr>
          <w:color w:val="000000"/>
          <w:kern w:val="0"/>
        </w:rPr>
        <w:t xml:space="preserve"> spargana parasitized on both thighs; F</w:t>
      </w:r>
      <w:r>
        <w:rPr>
          <w:rFonts w:hint="eastAsia"/>
          <w:color w:val="000000"/>
          <w:kern w:val="0"/>
        </w:rPr>
        <w:t>:</w:t>
      </w:r>
      <w:r>
        <w:rPr>
          <w:color w:val="000000"/>
          <w:kern w:val="0"/>
        </w:rPr>
        <w:t xml:space="preserve"> showed three spargania were parasitized on the same side with different lengths. G:</w:t>
      </w:r>
      <w:r>
        <w:rPr>
          <w:rFonts w:hint="eastAsia"/>
          <w:color w:val="000000"/>
          <w:kern w:val="0"/>
        </w:rPr>
        <w:t xml:space="preserve"> </w:t>
      </w:r>
      <w:r>
        <w:rPr>
          <w:color w:val="000000"/>
          <w:kern w:val="0"/>
        </w:rPr>
        <w:t>one spargana parasitized in the dorsal muscle, which was curled up. H</w:t>
      </w:r>
      <w:r>
        <w:rPr>
          <w:rFonts w:hint="eastAsia"/>
          <w:color w:val="000000"/>
          <w:kern w:val="0"/>
        </w:rPr>
        <w:t>:</w:t>
      </w:r>
      <w:r>
        <w:rPr>
          <w:color w:val="000000"/>
          <w:kern w:val="0"/>
        </w:rPr>
        <w:t xml:space="preserve"> spargana under subcutaneous with its head knots tied into the abdominal wall muscles.</w:t>
      </w:r>
    </w:p>
    <w:p w14:paraId="643D28AB">
      <w:pPr>
        <w:adjustRightInd w:val="0"/>
        <w:snapToGrid w:val="0"/>
        <w:spacing w:line="360" w:lineRule="auto"/>
        <w:ind w:firstLine="420" w:firstLineChars="200"/>
        <w:jc w:val="center"/>
        <w:rPr>
          <w:szCs w:val="21"/>
        </w:rPr>
      </w:pPr>
    </w:p>
    <w:p w14:paraId="10DD9F50">
      <w:pPr>
        <w:adjustRightInd w:val="0"/>
        <w:snapToGrid w:val="0"/>
        <w:spacing w:line="360" w:lineRule="auto"/>
        <w:jc w:val="center"/>
        <w:rPr>
          <w:szCs w:val="21"/>
        </w:rPr>
      </w:pPr>
      <w:r>
        <w:rPr>
          <w:szCs w:val="21"/>
        </w:rPr>
        <w:drawing>
          <wp:inline distT="0" distB="0" distL="0" distR="0">
            <wp:extent cx="3027680" cy="2700020"/>
            <wp:effectExtent l="0" t="0" r="1270" b="0"/>
            <wp:docPr id="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4"/>
                    <pic:cNvPicPr>
                      <a:picLocks noChangeAspect="1" noChangeArrowheads="1"/>
                    </pic:cNvPicPr>
                  </pic:nvPicPr>
                  <pic:blipFill>
                    <a:blip r:embed="rId6" cstate="print"/>
                    <a:srcRect/>
                    <a:stretch>
                      <a:fillRect/>
                    </a:stretch>
                  </pic:blipFill>
                  <pic:spPr>
                    <a:xfrm>
                      <a:off x="0" y="0"/>
                      <a:ext cx="3027680" cy="2700020"/>
                    </a:xfrm>
                    <a:prstGeom prst="rect">
                      <a:avLst/>
                    </a:prstGeom>
                    <a:noFill/>
                    <a:ln w="9525">
                      <a:noFill/>
                      <a:miter lim="800000"/>
                      <a:headEnd/>
                      <a:tailEnd/>
                    </a:ln>
                  </pic:spPr>
                </pic:pic>
              </a:graphicData>
            </a:graphic>
          </wp:inline>
        </w:drawing>
      </w:r>
    </w:p>
    <w:p w14:paraId="15CB1A31">
      <w:pPr>
        <w:adjustRightInd w:val="0"/>
        <w:snapToGrid w:val="0"/>
        <w:spacing w:line="400" w:lineRule="exact"/>
        <w:jc w:val="center"/>
        <w:rPr>
          <w:b/>
          <w:color w:val="000000"/>
          <w:kern w:val="0"/>
        </w:rPr>
      </w:pPr>
      <w:r>
        <w:rPr>
          <w:b/>
          <w:color w:val="000000"/>
          <w:kern w:val="0"/>
        </w:rPr>
        <w:t>图2立体显微镜下</w:t>
      </w:r>
      <w:r>
        <w:rPr>
          <w:rFonts w:hint="eastAsia"/>
          <w:b/>
          <w:color w:val="000000"/>
          <w:kern w:val="0"/>
        </w:rPr>
        <w:t>裂头蚴</w:t>
      </w:r>
      <w:r>
        <w:rPr>
          <w:b/>
          <w:color w:val="000000"/>
          <w:kern w:val="0"/>
        </w:rPr>
        <w:t>的形态特征</w:t>
      </w:r>
    </w:p>
    <w:p w14:paraId="6EDDFF9C">
      <w:pPr>
        <w:adjustRightInd w:val="0"/>
        <w:snapToGrid w:val="0"/>
        <w:spacing w:line="400" w:lineRule="exact"/>
        <w:jc w:val="center"/>
        <w:rPr>
          <w:color w:val="000000"/>
          <w:kern w:val="0"/>
        </w:rPr>
      </w:pPr>
      <w:r>
        <w:rPr>
          <w:color w:val="000000"/>
          <w:kern w:val="0"/>
        </w:rPr>
        <w:t xml:space="preserve">Fig 2 Morphological characteristics of spargana </w:t>
      </w:r>
      <w:r>
        <w:rPr>
          <w:rFonts w:hint="eastAsia"/>
          <w:color w:val="000000"/>
          <w:kern w:val="0"/>
        </w:rPr>
        <w:t>under</w:t>
      </w:r>
      <w:r>
        <w:rPr>
          <w:color w:val="000000"/>
          <w:kern w:val="0"/>
        </w:rPr>
        <w:t xml:space="preserve"> stereomicroscope</w:t>
      </w:r>
    </w:p>
    <w:p w14:paraId="358FB82A">
      <w:pPr>
        <w:spacing w:line="400" w:lineRule="exact"/>
        <w:rPr>
          <w:color w:val="000000"/>
          <w:kern w:val="0"/>
        </w:rPr>
      </w:pPr>
      <w:r>
        <w:rPr>
          <w:rFonts w:hint="eastAsia"/>
          <w:color w:val="000000"/>
          <w:kern w:val="0"/>
        </w:rPr>
        <w:t>A：显示裂头蚴</w:t>
      </w:r>
      <w:r>
        <w:rPr>
          <w:color w:val="000000"/>
          <w:kern w:val="0"/>
        </w:rPr>
        <w:t>对蛙肉具有趋</w:t>
      </w:r>
      <w:r>
        <w:rPr>
          <w:rFonts w:hint="eastAsia"/>
          <w:color w:val="000000"/>
          <w:kern w:val="0"/>
        </w:rPr>
        <w:t>向</w:t>
      </w:r>
      <w:r>
        <w:rPr>
          <w:color w:val="000000"/>
          <w:kern w:val="0"/>
        </w:rPr>
        <w:t>性</w:t>
      </w:r>
      <w:r>
        <w:rPr>
          <w:rFonts w:hint="eastAsia"/>
          <w:color w:val="000000"/>
          <w:kern w:val="0"/>
        </w:rPr>
        <w:t>；</w:t>
      </w:r>
      <w:r>
        <w:rPr>
          <w:color w:val="000000"/>
          <w:kern w:val="0"/>
        </w:rPr>
        <w:t>B</w:t>
      </w:r>
      <w:r>
        <w:rPr>
          <w:rFonts w:hint="eastAsia"/>
          <w:color w:val="000000"/>
          <w:kern w:val="0"/>
        </w:rPr>
        <w:t>：</w:t>
      </w:r>
      <w:r>
        <w:rPr>
          <w:color w:val="000000"/>
          <w:kern w:val="0"/>
        </w:rPr>
        <w:t>是由于</w:t>
      </w:r>
      <w:r>
        <w:rPr>
          <w:rFonts w:hint="eastAsia"/>
          <w:color w:val="000000"/>
          <w:kern w:val="0"/>
        </w:rPr>
        <w:t>裂头蚴</w:t>
      </w:r>
      <w:r>
        <w:rPr>
          <w:color w:val="000000"/>
          <w:kern w:val="0"/>
        </w:rPr>
        <w:t>的</w:t>
      </w:r>
      <w:r>
        <w:rPr>
          <w:rFonts w:hint="eastAsia"/>
          <w:color w:val="000000"/>
          <w:kern w:val="0"/>
        </w:rPr>
        <w:t>收缩</w:t>
      </w:r>
      <w:r>
        <w:rPr>
          <w:color w:val="000000"/>
          <w:kern w:val="0"/>
        </w:rPr>
        <w:t>而产生的不同细度的</w:t>
      </w:r>
      <w:r>
        <w:rPr>
          <w:rFonts w:hint="eastAsia"/>
          <w:color w:val="000000"/>
          <w:kern w:val="0"/>
        </w:rPr>
        <w:t>头节；</w:t>
      </w:r>
      <w:r>
        <w:rPr>
          <w:color w:val="000000"/>
          <w:kern w:val="0"/>
        </w:rPr>
        <w:t>C</w:t>
      </w:r>
      <w:r>
        <w:rPr>
          <w:rFonts w:hint="eastAsia"/>
          <w:color w:val="000000"/>
          <w:kern w:val="0"/>
        </w:rPr>
        <w:t>：</w:t>
      </w:r>
      <w:r>
        <w:rPr>
          <w:color w:val="000000"/>
          <w:kern w:val="0"/>
        </w:rPr>
        <w:t>苏木精染色后，节段顶部凹陷，小叶中央有间隙</w:t>
      </w:r>
      <w:r>
        <w:rPr>
          <w:rFonts w:hint="eastAsia"/>
          <w:color w:val="000000"/>
          <w:kern w:val="0"/>
        </w:rPr>
        <w:t>；</w:t>
      </w:r>
      <w:r>
        <w:rPr>
          <w:color w:val="000000"/>
          <w:kern w:val="0"/>
        </w:rPr>
        <w:t>D</w:t>
      </w:r>
      <w:r>
        <w:rPr>
          <w:rFonts w:hint="eastAsia"/>
          <w:color w:val="000000"/>
          <w:kern w:val="0"/>
        </w:rPr>
        <w:t>：裂头蚴头节</w:t>
      </w:r>
    </w:p>
    <w:p w14:paraId="37BC5D33">
      <w:pPr>
        <w:spacing w:line="400" w:lineRule="exact"/>
        <w:rPr>
          <w:color w:val="000000"/>
          <w:kern w:val="0"/>
        </w:rPr>
      </w:pPr>
      <w:r>
        <w:rPr>
          <w:szCs w:val="21"/>
        </w:rPr>
        <w:t>A</w:t>
      </w:r>
      <w:r>
        <w:rPr>
          <w:rFonts w:hint="eastAsia"/>
          <w:szCs w:val="21"/>
        </w:rPr>
        <w:t>:</w:t>
      </w:r>
      <w:r>
        <w:rPr>
          <w:szCs w:val="21"/>
        </w:rPr>
        <w:t xml:space="preserve"> </w:t>
      </w:r>
      <w:r>
        <w:rPr>
          <w:rFonts w:hint="eastAsia"/>
          <w:szCs w:val="21"/>
        </w:rPr>
        <w:t>S</w:t>
      </w:r>
      <w:r>
        <w:rPr>
          <w:szCs w:val="21"/>
        </w:rPr>
        <w:t xml:space="preserve">howed that </w:t>
      </w:r>
      <w:r>
        <w:rPr>
          <w:rFonts w:hint="eastAsia"/>
          <w:szCs w:val="21"/>
        </w:rPr>
        <w:t>s</w:t>
      </w:r>
      <w:r>
        <w:rPr>
          <w:szCs w:val="21"/>
        </w:rPr>
        <w:t>pargan</w:t>
      </w:r>
      <w:r>
        <w:rPr>
          <w:rFonts w:hint="eastAsia"/>
          <w:szCs w:val="21"/>
        </w:rPr>
        <w:t>um</w:t>
      </w:r>
      <w:r>
        <w:rPr>
          <w:szCs w:val="21"/>
        </w:rPr>
        <w:t xml:space="preserve"> had the chemotaxis to frog meat. B</w:t>
      </w:r>
      <w:r>
        <w:rPr>
          <w:rFonts w:hint="eastAsia"/>
          <w:szCs w:val="21"/>
        </w:rPr>
        <w:t>:</w:t>
      </w:r>
      <w:r>
        <w:rPr>
          <w:szCs w:val="21"/>
        </w:rPr>
        <w:t xml:space="preserve"> </w:t>
      </w:r>
      <w:r>
        <w:rPr>
          <w:rFonts w:hint="eastAsia"/>
          <w:szCs w:val="21"/>
        </w:rPr>
        <w:t>T</w:t>
      </w:r>
      <w:r>
        <w:rPr>
          <w:szCs w:val="21"/>
        </w:rPr>
        <w:t xml:space="preserve">he scolex with different fineness because of </w:t>
      </w:r>
      <w:r>
        <w:rPr>
          <w:rFonts w:hint="eastAsia"/>
          <w:szCs w:val="21"/>
        </w:rPr>
        <w:t>s</w:t>
      </w:r>
      <w:r>
        <w:rPr>
          <w:szCs w:val="21"/>
        </w:rPr>
        <w:t>pargan</w:t>
      </w:r>
      <w:r>
        <w:rPr>
          <w:rFonts w:hint="eastAsia"/>
          <w:szCs w:val="21"/>
        </w:rPr>
        <w:t>um</w:t>
      </w:r>
      <w:r>
        <w:rPr>
          <w:szCs w:val="21"/>
        </w:rPr>
        <w:t>’s shrinking. C</w:t>
      </w:r>
      <w:r>
        <w:rPr>
          <w:rFonts w:hint="eastAsia"/>
          <w:szCs w:val="21"/>
        </w:rPr>
        <w:t>:</w:t>
      </w:r>
      <w:r>
        <w:rPr>
          <w:szCs w:val="21"/>
        </w:rPr>
        <w:t xml:space="preserve"> </w:t>
      </w:r>
      <w:r>
        <w:rPr>
          <w:rFonts w:hint="eastAsia"/>
          <w:szCs w:val="21"/>
        </w:rPr>
        <w:t>T</w:t>
      </w:r>
      <w:r>
        <w:rPr>
          <w:szCs w:val="21"/>
        </w:rPr>
        <w:t>here was a depression at the top of the scolex and a gap in the middle of the strobila after staining by Hematoxylin. D</w:t>
      </w:r>
      <w:r>
        <w:rPr>
          <w:rFonts w:hint="eastAsia"/>
          <w:szCs w:val="21"/>
        </w:rPr>
        <w:t>:</w:t>
      </w:r>
      <w:r>
        <w:rPr>
          <w:szCs w:val="21"/>
        </w:rPr>
        <w:t xml:space="preserve"> </w:t>
      </w:r>
      <w:r>
        <w:rPr>
          <w:rFonts w:hint="eastAsia"/>
          <w:szCs w:val="21"/>
        </w:rPr>
        <w:t>T</w:t>
      </w:r>
      <w:r>
        <w:rPr>
          <w:szCs w:val="21"/>
        </w:rPr>
        <w:t xml:space="preserve">he scolex of </w:t>
      </w:r>
      <w:r>
        <w:rPr>
          <w:rFonts w:hint="eastAsia"/>
          <w:szCs w:val="21"/>
        </w:rPr>
        <w:t>s</w:t>
      </w:r>
      <w:r>
        <w:rPr>
          <w:szCs w:val="21"/>
        </w:rPr>
        <w:t>pargan</w:t>
      </w:r>
      <w:r>
        <w:rPr>
          <w:rFonts w:hint="eastAsia"/>
          <w:szCs w:val="21"/>
        </w:rPr>
        <w:t>um</w:t>
      </w:r>
      <w:r>
        <w:rPr>
          <w:rFonts w:hint="eastAsia"/>
          <w:color w:val="000000"/>
          <w:kern w:val="0"/>
        </w:rPr>
        <w:t xml:space="preserve">  </w:t>
      </w:r>
    </w:p>
    <w:p w14:paraId="79AA7383"/>
    <w:p w14:paraId="3E9FD87C">
      <w:pPr>
        <w:adjustRightInd w:val="0"/>
        <w:snapToGrid w:val="0"/>
        <w:spacing w:line="360" w:lineRule="auto"/>
        <w:rPr>
          <w:rFonts w:ascii="宋体" w:hAnsi="宋体"/>
          <w:szCs w:val="21"/>
        </w:rPr>
      </w:pPr>
      <w:r>
        <w:rPr>
          <w:rFonts w:ascii="宋体" w:hAnsi="宋体"/>
          <w:szCs w:val="21"/>
        </w:rPr>
        <w:drawing>
          <wp:inline distT="0" distB="0" distL="0" distR="0">
            <wp:extent cx="5279390" cy="2708910"/>
            <wp:effectExtent l="19050" t="0" r="0" b="0"/>
            <wp:docPr id="3" name="图片 1" descr="F:\D\陈兆国\在研项目++++++\2016-2019上海技术标准项目\2019-7-10 申报材料-第一稿\16DZ0501900动物源性食品中裂头蚴检测技术标准研究-验收申请材料\4  项目研究报告\系统进化.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F:\D\陈兆国\在研项目++++++\2016-2019上海技术标准项目\2019-7-10 申报材料-第一稿\16DZ0501900动物源性食品中裂头蚴检测技术标准研究-验收申请材料\4  项目研究报告\系统进化.tif"/>
                    <pic:cNvPicPr>
                      <a:picLocks noChangeAspect="1" noChangeArrowheads="1"/>
                    </pic:cNvPicPr>
                  </pic:nvPicPr>
                  <pic:blipFill>
                    <a:blip r:embed="rId7" cstate="print"/>
                    <a:srcRect/>
                    <a:stretch>
                      <a:fillRect/>
                    </a:stretch>
                  </pic:blipFill>
                  <pic:spPr>
                    <a:xfrm>
                      <a:off x="0" y="0"/>
                      <a:ext cx="5279390" cy="2708910"/>
                    </a:xfrm>
                    <a:prstGeom prst="rect">
                      <a:avLst/>
                    </a:prstGeom>
                    <a:noFill/>
                    <a:ln w="9525">
                      <a:noFill/>
                      <a:miter lim="800000"/>
                      <a:headEnd/>
                      <a:tailEnd/>
                    </a:ln>
                  </pic:spPr>
                </pic:pic>
              </a:graphicData>
            </a:graphic>
          </wp:inline>
        </w:drawing>
      </w:r>
    </w:p>
    <w:p w14:paraId="300D6790">
      <w:pPr>
        <w:adjustRightInd w:val="0"/>
        <w:snapToGrid w:val="0"/>
        <w:spacing w:line="360" w:lineRule="auto"/>
        <w:jc w:val="center"/>
        <w:rPr>
          <w:b/>
          <w:bCs/>
          <w:szCs w:val="21"/>
        </w:rPr>
      </w:pPr>
      <w:r>
        <w:rPr>
          <w:rFonts w:hint="eastAsia"/>
          <w:b/>
          <w:bCs/>
          <w:szCs w:val="21"/>
        </w:rPr>
        <w:t>图3  裂头蚴</w:t>
      </w:r>
      <w:r>
        <w:rPr>
          <w:rFonts w:hint="eastAsia"/>
          <w:b/>
          <w:bCs/>
          <w:i/>
          <w:szCs w:val="21"/>
        </w:rPr>
        <w:t>cox</w:t>
      </w:r>
      <w:r>
        <w:rPr>
          <w:rFonts w:hint="eastAsia"/>
          <w:b/>
          <w:bCs/>
          <w:szCs w:val="21"/>
        </w:rPr>
        <w:t>1基因序列的系统发育分析（邻接法）</w:t>
      </w:r>
    </w:p>
    <w:p w14:paraId="44128028">
      <w:pPr>
        <w:adjustRightInd w:val="0"/>
        <w:snapToGrid w:val="0"/>
        <w:spacing w:line="360" w:lineRule="auto"/>
        <w:jc w:val="center"/>
        <w:rPr>
          <w:rFonts w:ascii="宋体" w:hAnsi="宋体"/>
          <w:szCs w:val="21"/>
        </w:rPr>
      </w:pPr>
      <w:r>
        <w:rPr>
          <w:rFonts w:hint="eastAsia"/>
          <w:bCs/>
          <w:szCs w:val="21"/>
        </w:rPr>
        <w:t>F</w:t>
      </w:r>
      <w:r>
        <w:rPr>
          <w:bCs/>
          <w:szCs w:val="21"/>
        </w:rPr>
        <w:t xml:space="preserve">ig </w:t>
      </w:r>
      <w:r>
        <w:rPr>
          <w:rFonts w:hint="eastAsia"/>
          <w:bCs/>
          <w:szCs w:val="21"/>
        </w:rPr>
        <w:t>3</w:t>
      </w:r>
      <w:r>
        <w:rPr>
          <w:szCs w:val="21"/>
        </w:rPr>
        <w:t xml:space="preserve"> Phylogenetic relationships among members of cestode inferred by Neighbor-Joining analysis using the partial sequence of the mitochondrial cytochrome c oxidase subunit 1 </w:t>
      </w:r>
      <w:r>
        <w:rPr>
          <w:rFonts w:hint="eastAsia"/>
          <w:szCs w:val="21"/>
        </w:rPr>
        <w:t xml:space="preserve">gene </w:t>
      </w:r>
      <w:r>
        <w:rPr>
          <w:szCs w:val="21"/>
        </w:rPr>
        <w:t>(</w:t>
      </w:r>
      <w:r>
        <w:rPr>
          <w:i/>
          <w:szCs w:val="21"/>
        </w:rPr>
        <w:t>cox</w:t>
      </w:r>
      <w:r>
        <w:rPr>
          <w:szCs w:val="21"/>
        </w:rPr>
        <w:t xml:space="preserve">1), with </w:t>
      </w:r>
      <w:r>
        <w:rPr>
          <w:i/>
          <w:szCs w:val="21"/>
        </w:rPr>
        <w:t>D.</w:t>
      </w:r>
      <w:r>
        <w:rPr>
          <w:rFonts w:hint="eastAsia"/>
          <w:i/>
          <w:szCs w:val="21"/>
        </w:rPr>
        <w:t xml:space="preserve"> </w:t>
      </w:r>
      <w:r>
        <w:rPr>
          <w:i/>
          <w:szCs w:val="21"/>
        </w:rPr>
        <w:t>nihonkaiense</w:t>
      </w:r>
      <w:r>
        <w:rPr>
          <w:szCs w:val="21"/>
        </w:rPr>
        <w:t xml:space="preserve"> as out</w:t>
      </w:r>
      <w:r>
        <w:rPr>
          <w:rFonts w:hint="eastAsia"/>
          <w:szCs w:val="21"/>
        </w:rPr>
        <w:t xml:space="preserve"> </w:t>
      </w:r>
      <w:r>
        <w:rPr>
          <w:szCs w:val="21"/>
        </w:rPr>
        <w:t>group.</w:t>
      </w:r>
    </w:p>
    <w:p w14:paraId="256484E1">
      <w:pPr>
        <w:adjustRightInd w:val="0"/>
        <w:snapToGrid w:val="0"/>
        <w:spacing w:line="360" w:lineRule="auto"/>
        <w:rPr>
          <w:szCs w:val="21"/>
        </w:rPr>
      </w:pPr>
    </w:p>
    <w:p w14:paraId="474522DD">
      <w:pPr>
        <w:adjustRightInd w:val="0"/>
        <w:snapToGrid w:val="0"/>
        <w:jc w:val="center"/>
        <w:rPr>
          <w:b/>
          <w:bCs/>
          <w:szCs w:val="21"/>
        </w:rPr>
      </w:pPr>
      <w:r>
        <w:rPr>
          <w:b/>
          <w:szCs w:val="21"/>
        </w:rPr>
        <w:drawing>
          <wp:inline distT="0" distB="0" distL="0" distR="0">
            <wp:extent cx="4942840" cy="2855595"/>
            <wp:effectExtent l="19050" t="0" r="0" b="0"/>
            <wp:docPr id="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pic:cNvPicPr>
                      <a:picLocks noChangeAspect="1" noChangeArrowheads="1"/>
                    </pic:cNvPicPr>
                  </pic:nvPicPr>
                  <pic:blipFill>
                    <a:blip r:embed="rId8" cstate="print"/>
                    <a:srcRect/>
                    <a:stretch>
                      <a:fillRect/>
                    </a:stretch>
                  </pic:blipFill>
                  <pic:spPr>
                    <a:xfrm>
                      <a:off x="0" y="0"/>
                      <a:ext cx="4942840" cy="2855595"/>
                    </a:xfrm>
                    <a:prstGeom prst="rect">
                      <a:avLst/>
                    </a:prstGeom>
                    <a:noFill/>
                    <a:ln w="9525">
                      <a:noFill/>
                      <a:miter lim="800000"/>
                      <a:headEnd/>
                      <a:tailEnd/>
                    </a:ln>
                  </pic:spPr>
                </pic:pic>
              </a:graphicData>
            </a:graphic>
          </wp:inline>
        </w:drawing>
      </w:r>
    </w:p>
    <w:p w14:paraId="69D23B73">
      <w:pPr>
        <w:adjustRightInd w:val="0"/>
        <w:snapToGrid w:val="0"/>
        <w:jc w:val="center"/>
        <w:rPr>
          <w:b/>
          <w:bCs/>
          <w:szCs w:val="21"/>
        </w:rPr>
      </w:pPr>
      <w:r>
        <w:rPr>
          <w:rFonts w:hint="eastAsia"/>
          <w:b/>
          <w:bCs/>
          <w:szCs w:val="21"/>
        </w:rPr>
        <w:t>图4  裂头蚴</w:t>
      </w:r>
      <w:r>
        <w:rPr>
          <w:rFonts w:hint="eastAsia"/>
          <w:b/>
          <w:bCs/>
          <w:i/>
          <w:szCs w:val="21"/>
        </w:rPr>
        <w:t>nad</w:t>
      </w:r>
      <w:r>
        <w:rPr>
          <w:rFonts w:hint="eastAsia"/>
          <w:b/>
          <w:bCs/>
          <w:szCs w:val="21"/>
        </w:rPr>
        <w:t>1基因序列的系统发育分析（邻接法）</w:t>
      </w:r>
    </w:p>
    <w:p w14:paraId="3526E919">
      <w:pPr>
        <w:adjustRightInd w:val="0"/>
        <w:snapToGrid w:val="0"/>
        <w:spacing w:line="360" w:lineRule="auto"/>
        <w:jc w:val="center"/>
        <w:rPr>
          <w:szCs w:val="21"/>
        </w:rPr>
      </w:pPr>
      <w:r>
        <w:rPr>
          <w:rFonts w:hint="eastAsia"/>
          <w:bCs/>
          <w:szCs w:val="21"/>
        </w:rPr>
        <w:t>F</w:t>
      </w:r>
      <w:r>
        <w:rPr>
          <w:bCs/>
          <w:szCs w:val="21"/>
        </w:rPr>
        <w:t>ig</w:t>
      </w:r>
      <w:r>
        <w:rPr>
          <w:rFonts w:hint="eastAsia"/>
          <w:bCs/>
          <w:szCs w:val="21"/>
        </w:rPr>
        <w:t xml:space="preserve"> 4</w:t>
      </w:r>
      <w:r>
        <w:rPr>
          <w:rFonts w:hint="eastAsia"/>
          <w:b/>
          <w:bCs/>
          <w:szCs w:val="21"/>
        </w:rPr>
        <w:t xml:space="preserve"> </w:t>
      </w:r>
      <w:r>
        <w:rPr>
          <w:szCs w:val="21"/>
        </w:rPr>
        <w:t>Phylogenetic relationships among members of cestode inferred by Neighbor-Joining analysis using the partial sequence of the NADH dehydrogenase subunit 1</w:t>
      </w:r>
      <w:r>
        <w:rPr>
          <w:rFonts w:hint="eastAsia"/>
          <w:szCs w:val="21"/>
        </w:rPr>
        <w:t xml:space="preserve"> (</w:t>
      </w:r>
      <w:r>
        <w:rPr>
          <w:i/>
          <w:szCs w:val="21"/>
        </w:rPr>
        <w:t>nad</w:t>
      </w:r>
      <w:r>
        <w:rPr>
          <w:szCs w:val="21"/>
        </w:rPr>
        <w:t>1)</w:t>
      </w:r>
      <w:r>
        <w:rPr>
          <w:rFonts w:hint="eastAsia"/>
          <w:szCs w:val="21"/>
        </w:rPr>
        <w:t xml:space="preserve"> gene</w:t>
      </w:r>
      <w:r>
        <w:rPr>
          <w:szCs w:val="21"/>
        </w:rPr>
        <w:t xml:space="preserve">, with </w:t>
      </w:r>
      <w:r>
        <w:rPr>
          <w:i/>
          <w:szCs w:val="21"/>
        </w:rPr>
        <w:t>D.</w:t>
      </w:r>
      <w:r>
        <w:rPr>
          <w:rFonts w:hint="eastAsia"/>
          <w:i/>
          <w:szCs w:val="21"/>
        </w:rPr>
        <w:t xml:space="preserve"> </w:t>
      </w:r>
      <w:r>
        <w:rPr>
          <w:i/>
          <w:szCs w:val="21"/>
        </w:rPr>
        <w:t>nihonkaiense</w:t>
      </w:r>
      <w:r>
        <w:rPr>
          <w:szCs w:val="21"/>
        </w:rPr>
        <w:t xml:space="preserve"> as out</w:t>
      </w:r>
      <w:r>
        <w:rPr>
          <w:rFonts w:hint="eastAsia"/>
          <w:szCs w:val="21"/>
        </w:rPr>
        <w:t xml:space="preserve"> </w:t>
      </w:r>
      <w:r>
        <w:rPr>
          <w:szCs w:val="21"/>
        </w:rPr>
        <w:t>group.</w:t>
      </w:r>
    </w:p>
    <w:p w14:paraId="4B6AA47E">
      <w:pPr>
        <w:autoSpaceDE w:val="0"/>
        <w:autoSpaceDN w:val="0"/>
        <w:adjustRightInd w:val="0"/>
        <w:snapToGrid w:val="0"/>
        <w:spacing w:line="360" w:lineRule="auto"/>
        <w:jc w:val="left"/>
        <w:rPr>
          <w:rFonts w:eastAsiaTheme="minorEastAsia"/>
          <w:kern w:val="0"/>
          <w:sz w:val="24"/>
        </w:rPr>
      </w:pPr>
    </w:p>
    <w:p w14:paraId="69E6EE69">
      <w:pPr>
        <w:adjustRightInd w:val="0"/>
        <w:snapToGrid w:val="0"/>
        <w:spacing w:line="360" w:lineRule="auto"/>
        <w:ind w:firstLine="480" w:firstLineChars="200"/>
        <w:jc w:val="left"/>
        <w:rPr>
          <w:kern w:val="0"/>
          <w:szCs w:val="21"/>
        </w:rPr>
      </w:pPr>
      <w:r>
        <w:rPr>
          <w:rFonts w:hAnsiTheme="minorEastAsia" w:eastAsiaTheme="minorEastAsia"/>
          <w:kern w:val="0"/>
          <w:sz w:val="24"/>
        </w:rPr>
        <w:t>同时，</w:t>
      </w:r>
      <w:r>
        <w:rPr>
          <w:rFonts w:hAnsiTheme="minorEastAsia" w:eastAsiaTheme="minorEastAsia"/>
          <w:spacing w:val="6"/>
          <w:sz w:val="24"/>
        </w:rPr>
        <w:t>研制了</w:t>
      </w:r>
      <w:r>
        <w:rPr>
          <w:rFonts w:hAnsiTheme="minorEastAsia" w:eastAsiaTheme="minorEastAsia"/>
          <w:sz w:val="24"/>
        </w:rPr>
        <w:t>一种同时检测</w:t>
      </w:r>
      <w:r>
        <w:rPr>
          <w:rFonts w:hAnsiTheme="minorEastAsia" w:eastAsiaTheme="minorEastAsia"/>
          <w:color w:val="000000"/>
          <w:sz w:val="24"/>
        </w:rPr>
        <w:t>猪肉中曼氏裂头蚴、旋毛虫、猪囊尾蚴、刚地弓形虫等</w:t>
      </w:r>
      <w:r>
        <w:rPr>
          <w:rFonts w:eastAsiaTheme="minorEastAsia"/>
          <w:color w:val="000000"/>
          <w:sz w:val="24"/>
        </w:rPr>
        <w:t>4</w:t>
      </w:r>
      <w:r>
        <w:rPr>
          <w:rFonts w:hAnsiTheme="minorEastAsia" w:eastAsiaTheme="minorEastAsia"/>
          <w:color w:val="000000"/>
          <w:sz w:val="24"/>
        </w:rPr>
        <w:t>种食源性寄生虫的多重</w:t>
      </w:r>
      <w:r>
        <w:rPr>
          <w:rFonts w:eastAsiaTheme="minorEastAsia"/>
          <w:color w:val="000000"/>
          <w:sz w:val="24"/>
        </w:rPr>
        <w:t>PCR</w:t>
      </w:r>
      <w:r>
        <w:rPr>
          <w:rFonts w:hAnsiTheme="minorEastAsia" w:eastAsiaTheme="minorEastAsia"/>
          <w:color w:val="000000"/>
          <w:sz w:val="24"/>
        </w:rPr>
        <w:t>方法，</w:t>
      </w:r>
      <w:r>
        <w:rPr>
          <w:rFonts w:hAnsiTheme="minorEastAsia" w:eastAsiaTheme="minorEastAsia"/>
          <w:color w:val="000000"/>
          <w:kern w:val="0"/>
          <w:sz w:val="24"/>
        </w:rPr>
        <w:t>多重</w:t>
      </w:r>
      <w:r>
        <w:rPr>
          <w:rFonts w:eastAsiaTheme="minorEastAsia"/>
          <w:color w:val="000000"/>
          <w:kern w:val="0"/>
          <w:sz w:val="24"/>
        </w:rPr>
        <w:t>PCR</w:t>
      </w:r>
      <w:r>
        <w:rPr>
          <w:rFonts w:hAnsiTheme="minorEastAsia" w:eastAsiaTheme="minorEastAsia"/>
          <w:color w:val="000000"/>
          <w:kern w:val="0"/>
          <w:sz w:val="24"/>
        </w:rPr>
        <w:t>可分别有效检出</w:t>
      </w:r>
      <w:r>
        <w:rPr>
          <w:rFonts w:eastAsiaTheme="minorEastAsia"/>
          <w:color w:val="000000"/>
          <w:kern w:val="0"/>
          <w:sz w:val="24"/>
        </w:rPr>
        <w:t>1.15 pg/μL</w:t>
      </w:r>
      <w:r>
        <w:rPr>
          <w:rFonts w:hAnsiTheme="minorEastAsia" w:eastAsiaTheme="minorEastAsia"/>
          <w:color w:val="000000"/>
          <w:kern w:val="0"/>
          <w:sz w:val="24"/>
        </w:rPr>
        <w:t>浓度的旋毛虫、</w:t>
      </w:r>
      <w:r>
        <w:rPr>
          <w:rFonts w:eastAsiaTheme="minorEastAsia"/>
          <w:color w:val="000000"/>
          <w:kern w:val="0"/>
          <w:sz w:val="24"/>
        </w:rPr>
        <w:t>1.03 ng/μL</w:t>
      </w:r>
      <w:r>
        <w:rPr>
          <w:rFonts w:hAnsiTheme="minorEastAsia" w:eastAsiaTheme="minorEastAsia"/>
          <w:color w:val="000000"/>
          <w:kern w:val="0"/>
          <w:sz w:val="24"/>
        </w:rPr>
        <w:t>浓度的刚地弓形虫、</w:t>
      </w:r>
      <w:r>
        <w:rPr>
          <w:rFonts w:eastAsiaTheme="minorEastAsia"/>
          <w:color w:val="000000"/>
          <w:kern w:val="0"/>
          <w:sz w:val="24"/>
        </w:rPr>
        <w:t>0.56 pg/μL</w:t>
      </w:r>
      <w:r>
        <w:rPr>
          <w:rFonts w:hAnsiTheme="minorEastAsia" w:eastAsiaTheme="minorEastAsia"/>
          <w:color w:val="000000"/>
          <w:kern w:val="0"/>
          <w:sz w:val="24"/>
        </w:rPr>
        <w:t>浓度的猪囊尾蚴、</w:t>
      </w:r>
      <w:r>
        <w:rPr>
          <w:rFonts w:eastAsiaTheme="minorEastAsia"/>
          <w:color w:val="000000"/>
          <w:kern w:val="0"/>
          <w:sz w:val="24"/>
        </w:rPr>
        <w:t>1.20 ng/μL</w:t>
      </w:r>
      <w:r>
        <w:rPr>
          <w:rFonts w:hAnsiTheme="minorEastAsia" w:eastAsiaTheme="minorEastAsia"/>
          <w:color w:val="000000"/>
          <w:kern w:val="0"/>
          <w:sz w:val="24"/>
        </w:rPr>
        <w:t>浓度的曼氏裂头蚴的</w:t>
      </w:r>
      <w:r>
        <w:rPr>
          <w:rFonts w:eastAsiaTheme="minorEastAsia"/>
          <w:color w:val="000000"/>
          <w:kern w:val="0"/>
          <w:sz w:val="24"/>
        </w:rPr>
        <w:t>DNA</w:t>
      </w:r>
      <w:r>
        <w:rPr>
          <w:rFonts w:hAnsiTheme="minorEastAsia" w:eastAsiaTheme="minorEastAsia"/>
          <w:color w:val="000000"/>
          <w:kern w:val="0"/>
          <w:sz w:val="24"/>
        </w:rPr>
        <w:t>。结果只有弓形虫、旋毛虫、猪囊尾蚴、曼氏裂头蚴有扩增条带，而日本血吸虫、微小隐孢子虫、柔嫩艾美耳球虫、细粒棘球绦虫无扩增条带。将建立的技术应用于田间样品，对广州、上海、重庆采集的</w:t>
      </w:r>
      <w:r>
        <w:rPr>
          <w:rFonts w:eastAsiaTheme="minorEastAsia"/>
          <w:color w:val="000000"/>
          <w:kern w:val="0"/>
          <w:sz w:val="24"/>
        </w:rPr>
        <w:t>120</w:t>
      </w:r>
      <w:r>
        <w:rPr>
          <w:rFonts w:hAnsiTheme="minorEastAsia" w:eastAsiaTheme="minorEastAsia"/>
          <w:color w:val="000000"/>
          <w:kern w:val="0"/>
          <w:sz w:val="24"/>
        </w:rPr>
        <w:t>、</w:t>
      </w:r>
      <w:r>
        <w:rPr>
          <w:rFonts w:eastAsiaTheme="minorEastAsia"/>
          <w:color w:val="000000"/>
          <w:kern w:val="0"/>
          <w:sz w:val="24"/>
        </w:rPr>
        <w:t>127</w:t>
      </w:r>
      <w:r>
        <w:rPr>
          <w:rFonts w:hAnsiTheme="minorEastAsia" w:eastAsiaTheme="minorEastAsia"/>
          <w:color w:val="000000"/>
          <w:kern w:val="0"/>
          <w:sz w:val="24"/>
        </w:rPr>
        <w:t>、</w:t>
      </w:r>
      <w:r>
        <w:rPr>
          <w:rFonts w:eastAsiaTheme="minorEastAsia"/>
          <w:color w:val="000000"/>
          <w:kern w:val="0"/>
          <w:sz w:val="24"/>
        </w:rPr>
        <w:t>173</w:t>
      </w:r>
      <w:r>
        <w:rPr>
          <w:rFonts w:hAnsiTheme="minorEastAsia" w:eastAsiaTheme="minorEastAsia"/>
          <w:color w:val="000000"/>
          <w:kern w:val="0"/>
          <w:sz w:val="24"/>
        </w:rPr>
        <w:t>份田间猪膈肌样品，进行多重</w:t>
      </w:r>
      <w:r>
        <w:rPr>
          <w:rFonts w:eastAsiaTheme="minorEastAsia"/>
          <w:color w:val="000000"/>
          <w:kern w:val="0"/>
          <w:sz w:val="24"/>
        </w:rPr>
        <w:t>PCR</w:t>
      </w:r>
      <w:r>
        <w:rPr>
          <w:rFonts w:hAnsiTheme="minorEastAsia" w:eastAsiaTheme="minorEastAsia"/>
          <w:color w:val="000000"/>
          <w:kern w:val="0"/>
          <w:sz w:val="24"/>
        </w:rPr>
        <w:t>检测。结果，发现猪囊尾蚴阳性样品</w:t>
      </w:r>
      <w:r>
        <w:rPr>
          <w:rFonts w:eastAsiaTheme="minorEastAsia"/>
          <w:color w:val="000000"/>
          <w:kern w:val="0"/>
          <w:sz w:val="24"/>
        </w:rPr>
        <w:t>17</w:t>
      </w:r>
      <w:r>
        <w:rPr>
          <w:rFonts w:hAnsiTheme="minorEastAsia" w:eastAsiaTheme="minorEastAsia"/>
          <w:color w:val="000000"/>
          <w:kern w:val="0"/>
          <w:sz w:val="24"/>
        </w:rPr>
        <w:t>份，阳性率</w:t>
      </w:r>
      <w:r>
        <w:rPr>
          <w:rFonts w:eastAsiaTheme="minorEastAsia"/>
          <w:color w:val="000000"/>
          <w:kern w:val="0"/>
          <w:sz w:val="24"/>
        </w:rPr>
        <w:t>4.05%</w:t>
      </w:r>
      <w:r>
        <w:rPr>
          <w:rFonts w:hAnsiTheme="minorEastAsia" w:eastAsiaTheme="minorEastAsia"/>
          <w:color w:val="000000"/>
          <w:kern w:val="0"/>
          <w:sz w:val="24"/>
        </w:rPr>
        <w:t>；旋毛虫阳性样品</w:t>
      </w:r>
      <w:r>
        <w:rPr>
          <w:rFonts w:eastAsiaTheme="minorEastAsia"/>
          <w:color w:val="000000"/>
          <w:kern w:val="0"/>
          <w:sz w:val="24"/>
        </w:rPr>
        <w:t>1</w:t>
      </w:r>
      <w:r>
        <w:rPr>
          <w:rFonts w:hAnsiTheme="minorEastAsia" w:eastAsiaTheme="minorEastAsia"/>
          <w:color w:val="000000"/>
          <w:kern w:val="0"/>
          <w:sz w:val="24"/>
        </w:rPr>
        <w:t>份，阳性率</w:t>
      </w:r>
      <w:r>
        <w:rPr>
          <w:rFonts w:eastAsiaTheme="minorEastAsia"/>
          <w:color w:val="000000"/>
          <w:kern w:val="0"/>
          <w:sz w:val="24"/>
        </w:rPr>
        <w:t>0.24%</w:t>
      </w:r>
      <w:r>
        <w:rPr>
          <w:rFonts w:hAnsiTheme="minorEastAsia" w:eastAsiaTheme="minorEastAsia"/>
          <w:color w:val="000000"/>
          <w:kern w:val="0"/>
          <w:sz w:val="24"/>
        </w:rPr>
        <w:t>；曼氏裂头蚴阳性样品</w:t>
      </w:r>
      <w:r>
        <w:rPr>
          <w:rFonts w:eastAsiaTheme="minorEastAsia"/>
          <w:color w:val="000000"/>
          <w:kern w:val="0"/>
          <w:sz w:val="24"/>
        </w:rPr>
        <w:t>15</w:t>
      </w:r>
      <w:r>
        <w:rPr>
          <w:rFonts w:hAnsiTheme="minorEastAsia" w:eastAsiaTheme="minorEastAsia"/>
          <w:color w:val="000000"/>
          <w:kern w:val="0"/>
          <w:sz w:val="24"/>
        </w:rPr>
        <w:t>份，阳性率</w:t>
      </w:r>
      <w:r>
        <w:rPr>
          <w:rFonts w:eastAsiaTheme="minorEastAsia"/>
          <w:color w:val="000000"/>
          <w:kern w:val="0"/>
          <w:sz w:val="24"/>
        </w:rPr>
        <w:t>3.57%</w:t>
      </w:r>
      <w:r>
        <w:rPr>
          <w:rFonts w:hAnsiTheme="minorEastAsia" w:eastAsiaTheme="minorEastAsia"/>
          <w:color w:val="000000"/>
          <w:kern w:val="0"/>
          <w:sz w:val="24"/>
        </w:rPr>
        <w:t>；</w:t>
      </w:r>
      <w:r>
        <w:rPr>
          <w:rFonts w:eastAsiaTheme="minorEastAsia"/>
          <w:color w:val="000000"/>
          <w:kern w:val="0"/>
          <w:sz w:val="24"/>
        </w:rPr>
        <w:t>393</w:t>
      </w:r>
      <w:r>
        <w:rPr>
          <w:rFonts w:hAnsiTheme="minorEastAsia" w:eastAsiaTheme="minorEastAsia"/>
          <w:color w:val="000000"/>
          <w:kern w:val="0"/>
          <w:sz w:val="24"/>
        </w:rPr>
        <w:t>份样品中，弓形虫阳性样品</w:t>
      </w:r>
      <w:r>
        <w:rPr>
          <w:rFonts w:eastAsiaTheme="minorEastAsia"/>
          <w:color w:val="000000"/>
          <w:kern w:val="0"/>
          <w:sz w:val="24"/>
        </w:rPr>
        <w:t>21</w:t>
      </w:r>
      <w:r>
        <w:rPr>
          <w:rFonts w:hAnsiTheme="minorEastAsia" w:eastAsiaTheme="minorEastAsia"/>
          <w:color w:val="000000"/>
          <w:kern w:val="0"/>
          <w:sz w:val="24"/>
        </w:rPr>
        <w:t>份，阳性率</w:t>
      </w:r>
      <w:r>
        <w:rPr>
          <w:rFonts w:eastAsiaTheme="minorEastAsia"/>
          <w:color w:val="000000"/>
          <w:kern w:val="0"/>
          <w:sz w:val="24"/>
        </w:rPr>
        <w:t>5.34%</w:t>
      </w:r>
      <w:r>
        <w:rPr>
          <w:rFonts w:hAnsiTheme="minorEastAsia" w:eastAsiaTheme="minorEastAsia"/>
          <w:color w:val="000000"/>
          <w:kern w:val="0"/>
          <w:sz w:val="24"/>
        </w:rPr>
        <w:t>。</w:t>
      </w:r>
    </w:p>
    <w:p w14:paraId="08D85A98">
      <w:pPr>
        <w:adjustRightInd w:val="0"/>
        <w:snapToGrid w:val="0"/>
        <w:spacing w:before="31" w:beforeLines="10" w:after="31" w:afterLines="10" w:line="360" w:lineRule="auto"/>
        <w:ind w:firstLine="472" w:firstLineChars="196"/>
        <w:rPr>
          <w:rFonts w:asciiTheme="minorEastAsia" w:hAnsiTheme="minorEastAsia" w:eastAsiaTheme="minorEastAsia"/>
          <w:b/>
          <w:bCs/>
          <w:sz w:val="24"/>
        </w:rPr>
      </w:pPr>
      <w:r>
        <w:rPr>
          <w:rFonts w:asciiTheme="minorEastAsia" w:hAnsiTheme="minorEastAsia" w:eastAsiaTheme="minorEastAsia"/>
          <w:b/>
          <w:bCs/>
          <w:sz w:val="24"/>
        </w:rPr>
        <w:t>（</w:t>
      </w:r>
      <w:r>
        <w:rPr>
          <w:rFonts w:hint="eastAsia" w:asciiTheme="minorEastAsia" w:hAnsiTheme="minorEastAsia" w:eastAsiaTheme="minorEastAsia"/>
          <w:b/>
          <w:bCs/>
          <w:sz w:val="24"/>
        </w:rPr>
        <w:t>四</w:t>
      </w:r>
      <w:r>
        <w:rPr>
          <w:rFonts w:asciiTheme="minorEastAsia" w:hAnsiTheme="minorEastAsia" w:eastAsiaTheme="minorEastAsia"/>
          <w:b/>
          <w:bCs/>
          <w:sz w:val="24"/>
        </w:rPr>
        <w:t>）预期的经济效果</w:t>
      </w:r>
    </w:p>
    <w:p w14:paraId="5B6EBFFC">
      <w:pPr>
        <w:adjustRightInd w:val="0"/>
        <w:snapToGrid w:val="0"/>
        <w:spacing w:before="31" w:beforeLines="10" w:after="31" w:afterLines="10" w:line="360" w:lineRule="auto"/>
        <w:ind w:firstLine="470" w:firstLineChars="196"/>
        <w:rPr>
          <w:rFonts w:hAnsiTheme="minorEastAsia" w:eastAsiaTheme="minorEastAsia"/>
          <w:kern w:val="0"/>
          <w:sz w:val="24"/>
        </w:rPr>
      </w:pPr>
      <w:r>
        <w:rPr>
          <w:rFonts w:hAnsiTheme="minorEastAsia" w:eastAsiaTheme="minorEastAsia"/>
          <w:sz w:val="24"/>
        </w:rPr>
        <w:t>我国是世界畜牧业大国，</w:t>
      </w:r>
      <w:r>
        <w:rPr>
          <w:rFonts w:eastAsiaTheme="minorEastAsia"/>
          <w:kern w:val="0"/>
          <w:sz w:val="24"/>
        </w:rPr>
        <w:t>20</w:t>
      </w:r>
      <w:r>
        <w:rPr>
          <w:rFonts w:hint="eastAsia" w:eastAsiaTheme="minorEastAsia"/>
          <w:kern w:val="0"/>
          <w:sz w:val="24"/>
        </w:rPr>
        <w:t>21</w:t>
      </w:r>
      <w:r>
        <w:rPr>
          <w:rFonts w:hAnsiTheme="minorEastAsia" w:eastAsiaTheme="minorEastAsia"/>
          <w:kern w:val="0"/>
          <w:sz w:val="24"/>
        </w:rPr>
        <w:t>年，我国肉类总产量</w:t>
      </w:r>
      <w:r>
        <w:rPr>
          <w:rFonts w:eastAsiaTheme="minorEastAsia"/>
          <w:kern w:val="0"/>
          <w:sz w:val="24"/>
        </w:rPr>
        <w:t xml:space="preserve">8 </w:t>
      </w:r>
      <w:r>
        <w:rPr>
          <w:rFonts w:hint="eastAsia" w:eastAsiaTheme="minorEastAsia"/>
          <w:kern w:val="0"/>
          <w:sz w:val="24"/>
        </w:rPr>
        <w:t>990.0</w:t>
      </w:r>
      <w:r>
        <w:rPr>
          <w:rFonts w:hAnsiTheme="minorEastAsia" w:eastAsiaTheme="minorEastAsia"/>
          <w:kern w:val="0"/>
          <w:sz w:val="24"/>
        </w:rPr>
        <w:t>万吨，其中，猪肉产量</w:t>
      </w:r>
      <w:r>
        <w:rPr>
          <w:rFonts w:eastAsiaTheme="minorEastAsia"/>
          <w:kern w:val="0"/>
          <w:sz w:val="24"/>
        </w:rPr>
        <w:t xml:space="preserve">5 </w:t>
      </w:r>
      <w:r>
        <w:rPr>
          <w:rFonts w:hint="eastAsia" w:eastAsiaTheme="minorEastAsia"/>
          <w:kern w:val="0"/>
          <w:sz w:val="24"/>
        </w:rPr>
        <w:t>295.9</w:t>
      </w:r>
      <w:r>
        <w:rPr>
          <w:rFonts w:hAnsiTheme="minorEastAsia" w:eastAsiaTheme="minorEastAsia"/>
          <w:kern w:val="0"/>
          <w:sz w:val="24"/>
        </w:rPr>
        <w:t>万吨，居世界第一</w:t>
      </w:r>
      <w:r>
        <w:rPr>
          <w:rFonts w:hint="eastAsia" w:hAnsiTheme="minorEastAsia" w:eastAsiaTheme="minorEastAsia"/>
          <w:kern w:val="0"/>
          <w:sz w:val="24"/>
        </w:rPr>
        <w:t>；</w:t>
      </w:r>
      <w:r>
        <w:rPr>
          <w:rFonts w:hAnsiTheme="minorEastAsia" w:eastAsiaTheme="minorEastAsia"/>
          <w:kern w:val="0"/>
          <w:sz w:val="24"/>
        </w:rPr>
        <w:t>年末生猪存栏</w:t>
      </w:r>
      <w:r>
        <w:rPr>
          <w:rFonts w:eastAsiaTheme="minorEastAsia"/>
          <w:kern w:val="0"/>
          <w:sz w:val="24"/>
        </w:rPr>
        <w:t>4</w:t>
      </w:r>
      <w:r>
        <w:rPr>
          <w:rFonts w:hint="eastAsia" w:eastAsiaTheme="minorEastAsia"/>
          <w:kern w:val="0"/>
          <w:sz w:val="24"/>
        </w:rPr>
        <w:t>4</w:t>
      </w:r>
      <w:r>
        <w:rPr>
          <w:rFonts w:eastAsiaTheme="minorEastAsia"/>
          <w:kern w:val="0"/>
          <w:sz w:val="24"/>
        </w:rPr>
        <w:t xml:space="preserve"> </w:t>
      </w:r>
      <w:r>
        <w:rPr>
          <w:rFonts w:hint="eastAsia" w:eastAsiaTheme="minorEastAsia"/>
          <w:kern w:val="0"/>
          <w:sz w:val="24"/>
        </w:rPr>
        <w:t>922.4</w:t>
      </w:r>
      <w:r>
        <w:rPr>
          <w:rFonts w:hAnsiTheme="minorEastAsia" w:eastAsiaTheme="minorEastAsia"/>
          <w:kern w:val="0"/>
          <w:sz w:val="24"/>
        </w:rPr>
        <w:t>万头，</w:t>
      </w:r>
      <w:r>
        <w:rPr>
          <w:rFonts w:hint="eastAsia" w:hAnsiTheme="minorEastAsia" w:eastAsiaTheme="minorEastAsia"/>
          <w:kern w:val="0"/>
          <w:sz w:val="24"/>
        </w:rPr>
        <w:t>肉</w:t>
      </w:r>
      <w:r>
        <w:rPr>
          <w:rFonts w:hAnsiTheme="minorEastAsia" w:eastAsiaTheme="minorEastAsia"/>
          <w:kern w:val="0"/>
          <w:sz w:val="24"/>
        </w:rPr>
        <w:t>猪出栏</w:t>
      </w:r>
      <w:r>
        <w:rPr>
          <w:rFonts w:hint="eastAsia" w:eastAsiaTheme="minorEastAsia"/>
          <w:kern w:val="0"/>
          <w:sz w:val="24"/>
        </w:rPr>
        <w:t>67</w:t>
      </w:r>
      <w:r>
        <w:rPr>
          <w:rFonts w:eastAsiaTheme="minorEastAsia"/>
          <w:kern w:val="0"/>
          <w:sz w:val="24"/>
        </w:rPr>
        <w:t xml:space="preserve"> </w:t>
      </w:r>
      <w:r>
        <w:rPr>
          <w:rFonts w:hint="eastAsia" w:eastAsiaTheme="minorEastAsia"/>
          <w:kern w:val="0"/>
          <w:sz w:val="24"/>
        </w:rPr>
        <w:t>128.0</w:t>
      </w:r>
      <w:r>
        <w:rPr>
          <w:rFonts w:hAnsiTheme="minorEastAsia" w:eastAsiaTheme="minorEastAsia"/>
          <w:kern w:val="0"/>
          <w:sz w:val="24"/>
        </w:rPr>
        <w:t>万头，居世界第一位，约占世界总量的一半。年饲养家禽近百亿只。此外，蛙（包括虎纹蛙、棘胸蛙、中国林蛙、牛蛙、猪蛙等）、蛇（包括眼镜蛇、眼镜王蛇、滑鼠蛇、灰鼠蛇、蟒蛇、乌梢蛇等）等特种养殖业近年来也有了迅速发展。据统计，我国年食用活蛇达</w:t>
      </w:r>
      <w:r>
        <w:rPr>
          <w:rFonts w:eastAsiaTheme="minorEastAsia"/>
          <w:kern w:val="0"/>
          <w:sz w:val="24"/>
        </w:rPr>
        <w:t>20 000</w:t>
      </w:r>
      <w:r>
        <w:rPr>
          <w:rFonts w:hAnsiTheme="minorEastAsia" w:eastAsiaTheme="minorEastAsia"/>
          <w:kern w:val="0"/>
          <w:sz w:val="24"/>
        </w:rPr>
        <w:t>吨，约</w:t>
      </w:r>
      <w:r>
        <w:rPr>
          <w:rFonts w:eastAsiaTheme="minorEastAsia"/>
          <w:kern w:val="0"/>
          <w:sz w:val="24"/>
        </w:rPr>
        <w:t>1 500</w:t>
      </w:r>
      <w:r>
        <w:rPr>
          <w:rFonts w:hAnsiTheme="minorEastAsia" w:eastAsiaTheme="minorEastAsia"/>
          <w:kern w:val="0"/>
          <w:sz w:val="24"/>
        </w:rPr>
        <w:t>万条；仅广州市一地，单月消费活蛇达</w:t>
      </w:r>
      <w:r>
        <w:rPr>
          <w:rFonts w:eastAsiaTheme="minorEastAsia"/>
          <w:kern w:val="0"/>
          <w:sz w:val="24"/>
        </w:rPr>
        <w:t>600</w:t>
      </w:r>
      <w:r>
        <w:rPr>
          <w:rFonts w:hAnsiTheme="minorEastAsia" w:eastAsiaTheme="minorEastAsia"/>
          <w:kern w:val="0"/>
          <w:sz w:val="24"/>
        </w:rPr>
        <w:t>吨，年销量达</w:t>
      </w:r>
      <w:r>
        <w:rPr>
          <w:rFonts w:eastAsiaTheme="minorEastAsia"/>
          <w:kern w:val="0"/>
          <w:sz w:val="24"/>
        </w:rPr>
        <w:t>8 000</w:t>
      </w:r>
      <w:r>
        <w:rPr>
          <w:rFonts w:hAnsiTheme="minorEastAsia" w:eastAsiaTheme="minorEastAsia"/>
          <w:kern w:val="0"/>
          <w:sz w:val="24"/>
        </w:rPr>
        <w:t>吨。另外，药用、工艺及观赏用蛇数量也非常惊人。据《中国中药资源》称</w:t>
      </w:r>
      <w:r>
        <w:rPr>
          <w:rFonts w:eastAsiaTheme="minorEastAsia"/>
          <w:kern w:val="0"/>
          <w:sz w:val="24"/>
        </w:rPr>
        <w:t xml:space="preserve">, </w:t>
      </w:r>
      <w:r>
        <w:rPr>
          <w:rFonts w:hAnsiTheme="minorEastAsia" w:eastAsiaTheme="minorEastAsia"/>
          <w:kern w:val="0"/>
          <w:sz w:val="24"/>
        </w:rPr>
        <w:t>我国仅蕲蛇药材的年需求量为</w:t>
      </w:r>
      <w:r>
        <w:rPr>
          <w:rFonts w:eastAsiaTheme="minorEastAsia"/>
          <w:kern w:val="0"/>
          <w:sz w:val="24"/>
        </w:rPr>
        <w:t>50 000</w:t>
      </w:r>
      <w:r>
        <w:rPr>
          <w:rFonts w:hint="eastAsia" w:eastAsiaTheme="minorEastAsia"/>
          <w:kern w:val="0"/>
          <w:sz w:val="24"/>
        </w:rPr>
        <w:t xml:space="preserve"> </w:t>
      </w:r>
      <w:r>
        <w:rPr>
          <w:rFonts w:hAnsiTheme="minorEastAsia" w:eastAsiaTheme="minorEastAsia"/>
          <w:kern w:val="0"/>
          <w:sz w:val="24"/>
        </w:rPr>
        <w:t>～</w:t>
      </w:r>
      <w:r>
        <w:rPr>
          <w:rFonts w:hint="eastAsia" w:hAnsiTheme="minorEastAsia" w:eastAsiaTheme="minorEastAsia"/>
          <w:kern w:val="0"/>
          <w:sz w:val="24"/>
        </w:rPr>
        <w:t xml:space="preserve"> </w:t>
      </w:r>
      <w:r>
        <w:rPr>
          <w:rFonts w:eastAsiaTheme="minorEastAsia"/>
          <w:kern w:val="0"/>
          <w:sz w:val="24"/>
        </w:rPr>
        <w:t>60 000 kg</w:t>
      </w:r>
      <w:r>
        <w:rPr>
          <w:rFonts w:hAnsiTheme="minorEastAsia" w:eastAsiaTheme="minorEastAsia"/>
          <w:kern w:val="0"/>
          <w:sz w:val="24"/>
        </w:rPr>
        <w:t>。而蛙类，仅黑龙江省野生和养殖的林蛙总量达</w:t>
      </w:r>
      <w:r>
        <w:rPr>
          <w:rFonts w:eastAsiaTheme="minorEastAsia"/>
          <w:kern w:val="0"/>
          <w:sz w:val="24"/>
        </w:rPr>
        <w:t>4.5</w:t>
      </w:r>
      <w:r>
        <w:rPr>
          <w:rFonts w:hAnsiTheme="minorEastAsia" w:eastAsiaTheme="minorEastAsia"/>
          <w:kern w:val="0"/>
          <w:sz w:val="24"/>
        </w:rPr>
        <w:t>亿只，其中野生种蛙</w:t>
      </w:r>
      <w:r>
        <w:rPr>
          <w:rFonts w:eastAsiaTheme="minorEastAsia"/>
          <w:kern w:val="0"/>
          <w:sz w:val="24"/>
        </w:rPr>
        <w:t>720</w:t>
      </w:r>
      <w:r>
        <w:rPr>
          <w:rFonts w:hAnsiTheme="minorEastAsia" w:eastAsiaTheme="minorEastAsia"/>
          <w:kern w:val="0"/>
          <w:sz w:val="24"/>
        </w:rPr>
        <w:t>万只，农垦林蛙驯养中心存栏</w:t>
      </w:r>
      <w:r>
        <w:rPr>
          <w:rFonts w:eastAsiaTheme="minorEastAsia"/>
          <w:kern w:val="0"/>
          <w:sz w:val="24"/>
        </w:rPr>
        <w:t>8 000</w:t>
      </w:r>
      <w:r>
        <w:rPr>
          <w:rFonts w:hAnsiTheme="minorEastAsia" w:eastAsiaTheme="minorEastAsia"/>
          <w:kern w:val="0"/>
          <w:sz w:val="24"/>
        </w:rPr>
        <w:t>万只，铁力市养殖成品蛙</w:t>
      </w:r>
      <w:r>
        <w:rPr>
          <w:rFonts w:eastAsiaTheme="minorEastAsia"/>
          <w:kern w:val="0"/>
          <w:sz w:val="24"/>
        </w:rPr>
        <w:t>2 400</w:t>
      </w:r>
      <w:r>
        <w:rPr>
          <w:rFonts w:hAnsiTheme="minorEastAsia" w:eastAsiaTheme="minorEastAsia"/>
          <w:kern w:val="0"/>
          <w:sz w:val="24"/>
        </w:rPr>
        <w:t>万只，兴隆林业局存栏</w:t>
      </w:r>
      <w:r>
        <w:rPr>
          <w:rFonts w:eastAsiaTheme="minorEastAsia"/>
          <w:kern w:val="0"/>
          <w:sz w:val="24"/>
        </w:rPr>
        <w:t>1 500</w:t>
      </w:r>
      <w:r>
        <w:rPr>
          <w:rFonts w:hAnsiTheme="minorEastAsia" w:eastAsiaTheme="minorEastAsia"/>
          <w:kern w:val="0"/>
          <w:sz w:val="24"/>
        </w:rPr>
        <w:t>万只以上；吉林延边林区林蛙养殖户就有</w:t>
      </w:r>
      <w:r>
        <w:rPr>
          <w:rFonts w:eastAsiaTheme="minorEastAsia"/>
          <w:kern w:val="0"/>
          <w:sz w:val="24"/>
        </w:rPr>
        <w:t>3 263</w:t>
      </w:r>
      <w:r>
        <w:rPr>
          <w:rFonts w:hAnsiTheme="minorEastAsia" w:eastAsiaTheme="minorEastAsia"/>
          <w:kern w:val="0"/>
          <w:sz w:val="24"/>
        </w:rPr>
        <w:t>户，年产成品蛙</w:t>
      </w:r>
      <w:r>
        <w:rPr>
          <w:rFonts w:eastAsiaTheme="minorEastAsia"/>
          <w:kern w:val="0"/>
          <w:sz w:val="24"/>
        </w:rPr>
        <w:t>5 331</w:t>
      </w:r>
      <w:r>
        <w:rPr>
          <w:rFonts w:hAnsiTheme="minorEastAsia" w:eastAsiaTheme="minorEastAsia"/>
          <w:kern w:val="0"/>
          <w:sz w:val="24"/>
        </w:rPr>
        <w:t>万只，产值</w:t>
      </w:r>
      <w:r>
        <w:rPr>
          <w:rFonts w:eastAsiaTheme="minorEastAsia"/>
          <w:kern w:val="0"/>
          <w:sz w:val="24"/>
        </w:rPr>
        <w:t>17 481</w:t>
      </w:r>
      <w:r>
        <w:rPr>
          <w:rFonts w:hAnsiTheme="minorEastAsia" w:eastAsiaTheme="minorEastAsia"/>
          <w:kern w:val="0"/>
          <w:sz w:val="24"/>
        </w:rPr>
        <w:t>万元。而这些动物源性食品、药材中裂头蚴的感染率又较高。随着人们保健意识的增强，以及对裂头蚴危害了解的增加，必然要求加强动物源性食品中裂头蚴污染情况的调查。因此，动物源性食品中裂头蚴检测技术拥有广阔的市场前景，一旦技术经商业化推广应用后，其经济效益和社会效益将极其显著。</w:t>
      </w:r>
    </w:p>
    <w:p w14:paraId="3FC80A30">
      <w:pPr>
        <w:adjustRightInd w:val="0"/>
        <w:snapToGrid w:val="0"/>
        <w:spacing w:before="31" w:beforeLines="10" w:after="31" w:afterLines="10" w:line="360" w:lineRule="auto"/>
        <w:ind w:firstLine="472" w:firstLineChars="196"/>
        <w:rPr>
          <w:rFonts w:eastAsiaTheme="minorEastAsia"/>
          <w:b/>
          <w:bCs/>
          <w:sz w:val="24"/>
        </w:rPr>
      </w:pPr>
    </w:p>
    <w:p w14:paraId="13B94CB9">
      <w:pPr>
        <w:pStyle w:val="2"/>
        <w:keepNext w:val="0"/>
        <w:keepLines w:val="0"/>
        <w:wordWrap w:val="0"/>
        <w:ind w:firstLine="560"/>
        <w:rPr>
          <w:sz w:val="28"/>
        </w:rPr>
      </w:pPr>
      <w:r>
        <w:rPr>
          <w:sz w:val="28"/>
        </w:rPr>
        <w:t>四、采用国际标准和国外先进标准的程度</w:t>
      </w:r>
      <w:r>
        <w:rPr>
          <w:rFonts w:hint="eastAsia"/>
          <w:sz w:val="28"/>
        </w:rPr>
        <w:t>，以及与国际、国内同类标准水平的对比情况，或与测试的国外样品有关数据对比情况</w:t>
      </w:r>
    </w:p>
    <w:p w14:paraId="7C4376E2">
      <w:pPr>
        <w:adjustRightInd w:val="0"/>
        <w:snapToGrid w:val="0"/>
        <w:spacing w:line="360" w:lineRule="auto"/>
        <w:ind w:firstLine="420"/>
        <w:rPr>
          <w:rFonts w:asciiTheme="minorEastAsia" w:hAnsiTheme="minorEastAsia" w:eastAsiaTheme="minorEastAsia"/>
          <w:sz w:val="24"/>
        </w:rPr>
      </w:pPr>
      <w:r>
        <w:rPr>
          <w:rFonts w:hint="eastAsia" w:asciiTheme="minorEastAsia" w:hAnsiTheme="minorEastAsia" w:eastAsiaTheme="minorEastAsia"/>
          <w:sz w:val="24"/>
        </w:rPr>
        <w:t>如前所述，</w:t>
      </w:r>
      <w:r>
        <w:rPr>
          <w:rFonts w:asciiTheme="minorEastAsia" w:hAnsiTheme="minorEastAsia" w:eastAsiaTheme="minorEastAsia"/>
          <w:sz w:val="24"/>
        </w:rPr>
        <w:t>当前，动物源性食品中裂头蚴的检测方法主要包括病原学、血清学和分子生物学诊断技术。</w:t>
      </w:r>
    </w:p>
    <w:p w14:paraId="35AE5067">
      <w:pPr>
        <w:adjustRightInd w:val="0"/>
        <w:snapToGrid w:val="0"/>
        <w:spacing w:line="360" w:lineRule="auto"/>
        <w:ind w:firstLine="420"/>
        <w:rPr>
          <w:rFonts w:eastAsiaTheme="minorEastAsia"/>
          <w:sz w:val="24"/>
        </w:rPr>
      </w:pPr>
      <w:r>
        <w:rPr>
          <w:rFonts w:hAnsiTheme="minorEastAsia" w:eastAsiaTheme="minorEastAsia"/>
          <w:sz w:val="24"/>
        </w:rPr>
        <w:t>由于</w:t>
      </w:r>
      <w:r>
        <w:rPr>
          <w:rFonts w:hint="eastAsia" w:hAnsiTheme="minorEastAsia" w:eastAsiaTheme="minorEastAsia"/>
          <w:sz w:val="24"/>
        </w:rPr>
        <w:t>跌宫绦虫</w:t>
      </w:r>
      <w:r>
        <w:rPr>
          <w:rFonts w:hAnsiTheme="minorEastAsia" w:eastAsiaTheme="minorEastAsia"/>
          <w:sz w:val="24"/>
        </w:rPr>
        <w:t>裂头蚴虫体较大，肉眼即可观察到</w:t>
      </w:r>
      <w:r>
        <w:rPr>
          <w:rFonts w:hint="eastAsia" w:hAnsiTheme="minorEastAsia" w:eastAsiaTheme="minorEastAsia"/>
          <w:sz w:val="24"/>
        </w:rPr>
        <w:t>。</w:t>
      </w:r>
      <w:r>
        <w:rPr>
          <w:rFonts w:hAnsiTheme="minorEastAsia" w:eastAsiaTheme="minorEastAsia"/>
          <w:sz w:val="24"/>
        </w:rPr>
        <w:t>因此，目检法在生产现场应用最广，尤其适合屠宰企业在宰后检疫中运用。但目检法需要检测人员有一定的鉴别能力和实践经验，</w:t>
      </w:r>
      <w:r>
        <w:rPr>
          <w:rFonts w:hint="eastAsia" w:hAnsiTheme="minorEastAsia" w:eastAsiaTheme="minorEastAsia"/>
          <w:sz w:val="24"/>
        </w:rPr>
        <w:t>存在较大的主观性，因此，不能作为确诊的方法。</w:t>
      </w:r>
      <w:r>
        <w:rPr>
          <w:rFonts w:hAnsiTheme="minorEastAsia" w:eastAsiaTheme="minorEastAsia"/>
          <w:sz w:val="24"/>
        </w:rPr>
        <w:t>而</w:t>
      </w:r>
      <w:r>
        <w:rPr>
          <w:rFonts w:hint="eastAsia" w:hAnsiTheme="minorEastAsia" w:eastAsiaTheme="minorEastAsia"/>
          <w:sz w:val="24"/>
        </w:rPr>
        <w:t>显微镜检法可以显著弥补这个缺陷，根据虫体的体表特征、大小、寄生部位等，可以进行确诊。以往，国内外主要采用该法进行动物源性食品中跌宫绦虫裂头蚴感染监测、调查；当前，国内外仍普遍应用。但该法</w:t>
      </w:r>
      <w:r>
        <w:rPr>
          <w:rFonts w:hAnsiTheme="minorEastAsia" w:eastAsiaTheme="minorEastAsia"/>
          <w:sz w:val="24"/>
        </w:rPr>
        <w:t>无法鉴定</w:t>
      </w:r>
      <w:r>
        <w:rPr>
          <w:rFonts w:hint="eastAsia" w:hAnsiTheme="minorEastAsia" w:eastAsiaTheme="minorEastAsia"/>
          <w:sz w:val="24"/>
        </w:rPr>
        <w:t>裂头蚴的</w:t>
      </w:r>
      <w:r>
        <w:rPr>
          <w:rFonts w:hAnsiTheme="minorEastAsia" w:eastAsiaTheme="minorEastAsia"/>
          <w:sz w:val="24"/>
        </w:rPr>
        <w:t>种类。</w:t>
      </w:r>
    </w:p>
    <w:p w14:paraId="30FB1DFE">
      <w:pPr>
        <w:adjustRightInd w:val="0"/>
        <w:snapToGrid w:val="0"/>
        <w:spacing w:line="360" w:lineRule="auto"/>
        <w:ind w:firstLine="420"/>
        <w:rPr>
          <w:rFonts w:eastAsiaTheme="minorEastAsia"/>
          <w:sz w:val="24"/>
        </w:rPr>
      </w:pPr>
      <w:r>
        <w:rPr>
          <w:rFonts w:hAnsiTheme="minorEastAsia" w:eastAsiaTheme="minorEastAsia"/>
          <w:sz w:val="24"/>
        </w:rPr>
        <w:t>血清学诊断方法在猪的生前诊断中发挥重要作用，</w:t>
      </w:r>
      <w:r>
        <w:rPr>
          <w:rFonts w:hint="eastAsia" w:hAnsiTheme="minorEastAsia" w:eastAsiaTheme="minorEastAsia"/>
          <w:sz w:val="24"/>
        </w:rPr>
        <w:t>但</w:t>
      </w:r>
      <w:r>
        <w:rPr>
          <w:rFonts w:hAnsiTheme="minorEastAsia" w:eastAsiaTheme="minorEastAsia"/>
          <w:sz w:val="24"/>
        </w:rPr>
        <w:t>现有的裂头蚴诊断抗原，无论是可溶性抗原、排泄分泌抗原，还是单一重组抗原（其中应用较多的是半胱氨酸蛋白酶），与亲缘关系相近的其它蠕虫，均存在一定程度的交叉反应，从而影响了该技术的应用，目前在生产实践中甚少应用。</w:t>
      </w:r>
    </w:p>
    <w:p w14:paraId="0234AE21">
      <w:pPr>
        <w:adjustRightInd w:val="0"/>
        <w:snapToGrid w:val="0"/>
        <w:spacing w:line="360" w:lineRule="auto"/>
        <w:ind w:firstLine="420"/>
        <w:rPr>
          <w:rFonts w:eastAsiaTheme="minorEastAsia"/>
          <w:sz w:val="24"/>
        </w:rPr>
      </w:pPr>
      <w:r>
        <w:rPr>
          <w:rFonts w:hAnsiTheme="minorEastAsia" w:eastAsiaTheme="minorEastAsia"/>
          <w:sz w:val="24"/>
        </w:rPr>
        <w:t>分子生物学方法可以有效地避免这个问题，具有灵敏、</w:t>
      </w:r>
      <w:r>
        <w:rPr>
          <w:rFonts w:hint="eastAsia" w:hAnsiTheme="minorEastAsia" w:eastAsiaTheme="minorEastAsia"/>
          <w:sz w:val="24"/>
        </w:rPr>
        <w:t>特异、</w:t>
      </w:r>
      <w:r>
        <w:rPr>
          <w:rFonts w:hAnsiTheme="minorEastAsia" w:eastAsiaTheme="minorEastAsia"/>
          <w:sz w:val="24"/>
        </w:rPr>
        <w:t>能确定种</w:t>
      </w:r>
      <w:r>
        <w:rPr>
          <w:rFonts w:hint="eastAsia" w:hAnsiTheme="minorEastAsia" w:eastAsiaTheme="minorEastAsia"/>
          <w:sz w:val="24"/>
        </w:rPr>
        <w:t>（系）</w:t>
      </w:r>
      <w:r>
        <w:rPr>
          <w:rFonts w:hAnsiTheme="minorEastAsia" w:eastAsiaTheme="minorEastAsia"/>
          <w:sz w:val="24"/>
        </w:rPr>
        <w:t>等</w:t>
      </w:r>
      <w:r>
        <w:rPr>
          <w:rFonts w:hint="eastAsia" w:hAnsiTheme="minorEastAsia" w:eastAsiaTheme="minorEastAsia"/>
          <w:sz w:val="24"/>
        </w:rPr>
        <w:t>优点</w:t>
      </w:r>
      <w:r>
        <w:rPr>
          <w:rFonts w:hAnsiTheme="minorEastAsia" w:eastAsiaTheme="minorEastAsia"/>
          <w:sz w:val="24"/>
        </w:rPr>
        <w:t>。目前，国内外</w:t>
      </w:r>
      <w:r>
        <w:rPr>
          <w:rFonts w:eastAsiaTheme="minorEastAsia"/>
          <w:sz w:val="24"/>
        </w:rPr>
        <w:t>PCR</w:t>
      </w:r>
      <w:r>
        <w:rPr>
          <w:rFonts w:hAnsiTheme="minorEastAsia" w:eastAsiaTheme="minorEastAsia"/>
          <w:sz w:val="24"/>
        </w:rPr>
        <w:t>检测的靶基因较多，有</w:t>
      </w:r>
      <w:r>
        <w:rPr>
          <w:rFonts w:eastAsiaTheme="minorEastAsia"/>
          <w:i/>
          <w:sz w:val="24"/>
        </w:rPr>
        <w:t>cox</w:t>
      </w:r>
      <w:r>
        <w:rPr>
          <w:rFonts w:eastAsiaTheme="minorEastAsia"/>
          <w:sz w:val="24"/>
        </w:rPr>
        <w:t>1</w:t>
      </w:r>
      <w:r>
        <w:rPr>
          <w:rFonts w:hAnsiTheme="minorEastAsia" w:eastAsiaTheme="minorEastAsia"/>
          <w:sz w:val="24"/>
        </w:rPr>
        <w:t>、</w:t>
      </w:r>
      <w:r>
        <w:rPr>
          <w:rFonts w:eastAsiaTheme="minorEastAsia"/>
          <w:color w:val="333333"/>
          <w:sz w:val="24"/>
          <w:shd w:val="clear" w:color="auto" w:fill="FFFFFF"/>
        </w:rPr>
        <w:t>18S rRNA</w:t>
      </w:r>
      <w:r>
        <w:rPr>
          <w:rFonts w:hAnsiTheme="minorEastAsia" w:eastAsiaTheme="minorEastAsia"/>
          <w:sz w:val="24"/>
        </w:rPr>
        <w:t>、</w:t>
      </w:r>
      <w:r>
        <w:rPr>
          <w:rFonts w:eastAsiaTheme="minorEastAsia"/>
          <w:color w:val="333333"/>
          <w:sz w:val="24"/>
          <w:shd w:val="clear" w:color="auto" w:fill="FFFFFF"/>
        </w:rPr>
        <w:t>28S rRNA</w:t>
      </w:r>
      <w:r>
        <w:rPr>
          <w:rFonts w:hAnsiTheme="minorEastAsia" w:eastAsiaTheme="minorEastAsia"/>
          <w:sz w:val="24"/>
        </w:rPr>
        <w:t>、</w:t>
      </w:r>
      <w:r>
        <w:rPr>
          <w:rFonts w:eastAsiaTheme="minorEastAsia"/>
          <w:i/>
          <w:iCs/>
          <w:kern w:val="0"/>
          <w:sz w:val="24"/>
        </w:rPr>
        <w:t>nad</w:t>
      </w:r>
      <w:r>
        <w:rPr>
          <w:rFonts w:eastAsiaTheme="minorEastAsia"/>
          <w:kern w:val="0"/>
          <w:sz w:val="24"/>
        </w:rPr>
        <w:t>1</w:t>
      </w:r>
      <w:r>
        <w:rPr>
          <w:rFonts w:hint="eastAsia" w:eastAsiaTheme="minorEastAsia"/>
          <w:kern w:val="0"/>
          <w:sz w:val="24"/>
        </w:rPr>
        <w:t>、ITS、</w:t>
      </w:r>
      <w:r>
        <w:rPr>
          <w:rFonts w:eastAsiaTheme="minorEastAsia"/>
          <w:i/>
          <w:sz w:val="24"/>
        </w:rPr>
        <w:t>cox</w:t>
      </w:r>
      <w:r>
        <w:rPr>
          <w:rFonts w:hint="eastAsia" w:eastAsiaTheme="minorEastAsia"/>
          <w:sz w:val="24"/>
        </w:rPr>
        <w:t>3</w:t>
      </w:r>
      <w:r>
        <w:rPr>
          <w:rFonts w:hAnsiTheme="minorEastAsia" w:eastAsiaTheme="minorEastAsia"/>
          <w:sz w:val="24"/>
        </w:rPr>
        <w:t>基因等。但基于</w:t>
      </w:r>
      <w:r>
        <w:rPr>
          <w:rFonts w:eastAsiaTheme="minorEastAsia"/>
          <w:i/>
          <w:sz w:val="24"/>
        </w:rPr>
        <w:t>cox</w:t>
      </w:r>
      <w:r>
        <w:rPr>
          <w:rFonts w:eastAsiaTheme="minorEastAsia"/>
          <w:sz w:val="24"/>
        </w:rPr>
        <w:t>1</w:t>
      </w:r>
      <w:r>
        <w:rPr>
          <w:rFonts w:hAnsiTheme="minorEastAsia" w:eastAsiaTheme="minorEastAsia"/>
          <w:sz w:val="24"/>
        </w:rPr>
        <w:t>的</w:t>
      </w:r>
      <w:r>
        <w:rPr>
          <w:rFonts w:eastAsiaTheme="minorEastAsia"/>
          <w:sz w:val="24"/>
        </w:rPr>
        <w:t>PCR</w:t>
      </w:r>
      <w:r>
        <w:rPr>
          <w:rFonts w:hAnsiTheme="minorEastAsia" w:eastAsiaTheme="minorEastAsia"/>
          <w:sz w:val="24"/>
        </w:rPr>
        <w:t>方法应用最广，多数学者也认为其鉴别效果更好。</w:t>
      </w:r>
      <w:r>
        <w:rPr>
          <w:rFonts w:hint="eastAsia" w:hAnsiTheme="minorEastAsia" w:eastAsiaTheme="minorEastAsia"/>
          <w:sz w:val="24"/>
        </w:rPr>
        <w:t>但</w:t>
      </w:r>
      <w:r>
        <w:rPr>
          <w:rFonts w:eastAsiaTheme="minorEastAsia"/>
          <w:i/>
          <w:sz w:val="24"/>
        </w:rPr>
        <w:t>cox</w:t>
      </w:r>
      <w:r>
        <w:rPr>
          <w:rFonts w:eastAsiaTheme="minorEastAsia"/>
          <w:sz w:val="24"/>
        </w:rPr>
        <w:t>1</w:t>
      </w:r>
      <w:r>
        <w:rPr>
          <w:rFonts w:hint="eastAsia" w:eastAsiaTheme="minorEastAsia"/>
          <w:sz w:val="24"/>
        </w:rPr>
        <w:t>全长约1566 bp，PCR扩增较为困难，检测应用非常不便，故多数学者采用部分片段扩增的办法，以提高检测灵敏度。起草者</w:t>
      </w:r>
      <w:r>
        <w:rPr>
          <w:rFonts w:hAnsiTheme="minorEastAsia" w:eastAsiaTheme="minorEastAsia"/>
          <w:sz w:val="24"/>
        </w:rPr>
        <w:t>所在实验室，采用基于</w:t>
      </w:r>
      <w:r>
        <w:rPr>
          <w:rFonts w:eastAsiaTheme="minorEastAsia"/>
          <w:i/>
          <w:sz w:val="24"/>
        </w:rPr>
        <w:t>cox</w:t>
      </w:r>
      <w:r>
        <w:rPr>
          <w:rFonts w:eastAsiaTheme="minorEastAsia"/>
          <w:sz w:val="24"/>
        </w:rPr>
        <w:t>1</w:t>
      </w:r>
      <w:r>
        <w:rPr>
          <w:rFonts w:hAnsiTheme="minorEastAsia" w:eastAsiaTheme="minorEastAsia"/>
          <w:sz w:val="24"/>
        </w:rPr>
        <w:t>和</w:t>
      </w:r>
      <w:r>
        <w:rPr>
          <w:rFonts w:eastAsiaTheme="minorEastAsia"/>
          <w:i/>
          <w:iCs/>
          <w:kern w:val="0"/>
          <w:sz w:val="24"/>
        </w:rPr>
        <w:t>nad</w:t>
      </w:r>
      <w:r>
        <w:rPr>
          <w:rFonts w:eastAsiaTheme="minorEastAsia"/>
          <w:kern w:val="0"/>
          <w:sz w:val="24"/>
        </w:rPr>
        <w:t>1</w:t>
      </w:r>
      <w:r>
        <w:rPr>
          <w:rFonts w:hAnsiTheme="minorEastAsia" w:eastAsiaTheme="minorEastAsia"/>
          <w:sz w:val="24"/>
        </w:rPr>
        <w:t>基因</w:t>
      </w:r>
      <w:r>
        <w:rPr>
          <w:rFonts w:hint="eastAsia" w:hAnsiTheme="minorEastAsia" w:eastAsiaTheme="minorEastAsia"/>
          <w:sz w:val="24"/>
        </w:rPr>
        <w:t>部分序列</w:t>
      </w:r>
      <w:r>
        <w:rPr>
          <w:rFonts w:hAnsiTheme="minorEastAsia" w:eastAsiaTheme="minorEastAsia"/>
          <w:sz w:val="24"/>
        </w:rPr>
        <w:t>的</w:t>
      </w:r>
      <w:r>
        <w:rPr>
          <w:rFonts w:eastAsiaTheme="minorEastAsia"/>
          <w:sz w:val="24"/>
        </w:rPr>
        <w:t>PCR</w:t>
      </w:r>
      <w:r>
        <w:rPr>
          <w:rFonts w:hAnsiTheme="minorEastAsia" w:eastAsiaTheme="minorEastAsia"/>
          <w:sz w:val="24"/>
        </w:rPr>
        <w:t>方法检测上海、浙江等地蛙中分离的疑似</w:t>
      </w:r>
      <w:r>
        <w:rPr>
          <w:rFonts w:hint="eastAsia" w:hAnsiTheme="minorEastAsia" w:eastAsiaTheme="minorEastAsia"/>
          <w:sz w:val="24"/>
        </w:rPr>
        <w:t>曼氏</w:t>
      </w:r>
      <w:r>
        <w:rPr>
          <w:rFonts w:hAnsiTheme="minorEastAsia" w:eastAsiaTheme="minorEastAsia"/>
          <w:sz w:val="24"/>
        </w:rPr>
        <w:t>迭宫绦虫裂头蚴，发现均能有效扩增，并成功鉴定虫种（</w:t>
      </w:r>
      <w:r>
        <w:rPr>
          <w:rFonts w:eastAsiaTheme="minorEastAsia"/>
          <w:sz w:val="24"/>
        </w:rPr>
        <w:t>Zhang X et al., 2020</w:t>
      </w:r>
      <w:r>
        <w:rPr>
          <w:rFonts w:hAnsiTheme="minorEastAsia" w:eastAsiaTheme="minorEastAsia"/>
          <w:sz w:val="24"/>
        </w:rPr>
        <w:t>）。</w:t>
      </w:r>
    </w:p>
    <w:p w14:paraId="457BDE62">
      <w:pPr>
        <w:pStyle w:val="3"/>
        <w:keepNext w:val="0"/>
        <w:keepLines w:val="0"/>
        <w:adjustRightInd w:val="0"/>
        <w:snapToGrid w:val="0"/>
        <w:ind w:firstLine="480"/>
        <w:rPr>
          <w:sz w:val="28"/>
        </w:rPr>
      </w:pPr>
      <w:r>
        <w:rPr>
          <w:rFonts w:ascii="Times New Roman" w:hAnsiTheme="minorEastAsia" w:eastAsiaTheme="minorEastAsia"/>
          <w:b w:val="0"/>
          <w:sz w:val="24"/>
        </w:rPr>
        <w:t>鉴于上述因素，本标准选择目检法</w:t>
      </w:r>
      <w:r>
        <w:rPr>
          <w:rFonts w:hint="eastAsia" w:ascii="Times New Roman" w:hAnsiTheme="minorEastAsia" w:eastAsiaTheme="minorEastAsia"/>
          <w:b w:val="0"/>
          <w:sz w:val="24"/>
        </w:rPr>
        <w:t>、显微镜检法</w:t>
      </w:r>
      <w:r>
        <w:rPr>
          <w:rFonts w:ascii="Times New Roman" w:hAnsiTheme="minorEastAsia" w:eastAsiaTheme="minorEastAsia"/>
          <w:b w:val="0"/>
          <w:sz w:val="24"/>
        </w:rPr>
        <w:t>和基于</w:t>
      </w:r>
      <w:r>
        <w:rPr>
          <w:rFonts w:ascii="Times New Roman" w:hAnsi="Times New Roman" w:eastAsiaTheme="minorEastAsia"/>
          <w:b w:val="0"/>
          <w:i/>
          <w:sz w:val="24"/>
        </w:rPr>
        <w:t>cox</w:t>
      </w:r>
      <w:r>
        <w:rPr>
          <w:rFonts w:ascii="Times New Roman" w:hAnsi="Times New Roman" w:eastAsiaTheme="minorEastAsia"/>
          <w:b w:val="0"/>
          <w:sz w:val="24"/>
        </w:rPr>
        <w:t>1</w:t>
      </w:r>
      <w:r>
        <w:rPr>
          <w:rFonts w:ascii="Times New Roman" w:hAnsiTheme="minorEastAsia" w:eastAsiaTheme="minorEastAsia"/>
          <w:b w:val="0"/>
          <w:sz w:val="24"/>
        </w:rPr>
        <w:t>基因部分</w:t>
      </w:r>
      <w:r>
        <w:rPr>
          <w:rFonts w:hint="eastAsia" w:ascii="Times New Roman" w:hAnsiTheme="minorEastAsia" w:eastAsiaTheme="minorEastAsia"/>
          <w:b w:val="0"/>
          <w:sz w:val="24"/>
        </w:rPr>
        <w:t>序列</w:t>
      </w:r>
      <w:r>
        <w:rPr>
          <w:rFonts w:ascii="Times New Roman" w:hAnsiTheme="minorEastAsia" w:eastAsiaTheme="minorEastAsia"/>
          <w:b w:val="0"/>
          <w:sz w:val="24"/>
        </w:rPr>
        <w:t>的</w:t>
      </w:r>
      <w:r>
        <w:rPr>
          <w:rFonts w:ascii="Times New Roman" w:hAnsi="Times New Roman" w:eastAsiaTheme="minorEastAsia"/>
          <w:b w:val="0"/>
          <w:sz w:val="24"/>
        </w:rPr>
        <w:t>PCR</w:t>
      </w:r>
      <w:r>
        <w:rPr>
          <w:rFonts w:ascii="Times New Roman" w:hAnsiTheme="minorEastAsia" w:eastAsiaTheme="minorEastAsia"/>
          <w:b w:val="0"/>
          <w:sz w:val="24"/>
        </w:rPr>
        <w:t>方法作为动物源性食品中裂头蚴的检测方法，可兼顾生产</w:t>
      </w:r>
      <w:r>
        <w:rPr>
          <w:rFonts w:hint="eastAsia" w:ascii="Times New Roman" w:hAnsiTheme="minorEastAsia" w:eastAsiaTheme="minorEastAsia"/>
          <w:b w:val="0"/>
          <w:sz w:val="24"/>
        </w:rPr>
        <w:t>一线</w:t>
      </w:r>
      <w:r>
        <w:rPr>
          <w:rFonts w:ascii="Times New Roman" w:hAnsiTheme="minorEastAsia" w:eastAsiaTheme="minorEastAsia"/>
          <w:b w:val="0"/>
          <w:sz w:val="24"/>
        </w:rPr>
        <w:t>和实验室鉴定使用。</w:t>
      </w:r>
      <w:r>
        <w:rPr>
          <w:rFonts w:hint="eastAsia" w:ascii="Times New Roman" w:hAnsiTheme="minorEastAsia" w:eastAsiaTheme="minorEastAsia"/>
          <w:b w:val="0"/>
          <w:sz w:val="24"/>
        </w:rPr>
        <w:t>因此，本标准采用的技术与国际主流技术同步，达到国际先进。从起草者实验室运用这些技术对猪、蛙等动物源性食品中裂头蚴的检测结果看，与国外检测结果基本相近</w:t>
      </w:r>
      <w:r>
        <w:rPr>
          <w:rFonts w:ascii="Times New Roman" w:hAnsi="Times New Roman" w:eastAsiaTheme="minorEastAsia"/>
          <w:b w:val="0"/>
          <w:sz w:val="24"/>
        </w:rPr>
        <w:t>（Zhang X et al., 2020）</w:t>
      </w:r>
      <w:r>
        <w:rPr>
          <w:rFonts w:hint="eastAsia" w:ascii="Times New Roman" w:hAnsi="Times New Roman" w:eastAsiaTheme="minorEastAsia"/>
          <w:b w:val="0"/>
          <w:sz w:val="24"/>
        </w:rPr>
        <w:t>，证明本标准选用技术是可靠、合适的。</w:t>
      </w:r>
    </w:p>
    <w:p w14:paraId="40CF9614"/>
    <w:p w14:paraId="1C39F93E">
      <w:pPr>
        <w:pStyle w:val="2"/>
        <w:keepNext w:val="0"/>
        <w:keepLines w:val="0"/>
        <w:wordWrap w:val="0"/>
        <w:ind w:firstLine="560"/>
        <w:rPr>
          <w:sz w:val="28"/>
        </w:rPr>
      </w:pPr>
      <w:r>
        <w:rPr>
          <w:sz w:val="28"/>
        </w:rPr>
        <w:t>五、与现行的法律、法规和强制性国家标准的关系</w:t>
      </w:r>
    </w:p>
    <w:p w14:paraId="066182F5">
      <w:pPr>
        <w:adjustRightInd w:val="0"/>
        <w:snapToGrid w:val="0"/>
        <w:spacing w:line="360" w:lineRule="auto"/>
        <w:ind w:firstLine="420"/>
        <w:rPr>
          <w:color w:val="00B0F0"/>
          <w:sz w:val="24"/>
        </w:rPr>
      </w:pPr>
      <w:r>
        <w:rPr>
          <w:rFonts w:hint="eastAsia"/>
          <w:color w:val="00B0F0"/>
          <w:sz w:val="24"/>
        </w:rPr>
        <w:t>主要说明标准与相应法律法规和强制性标准之间的衔接、协调情况。列出与标标准密切相关的法律法规、强制性标准的名称和编号。</w:t>
      </w:r>
    </w:p>
    <w:p w14:paraId="7C803E73">
      <w:pPr>
        <w:adjustRightInd w:val="0"/>
        <w:snapToGrid w:val="0"/>
        <w:spacing w:line="360" w:lineRule="auto"/>
        <w:ind w:firstLine="420"/>
        <w:rPr>
          <w:rFonts w:eastAsiaTheme="minorEastAsia"/>
          <w:sz w:val="24"/>
        </w:rPr>
      </w:pPr>
      <w:r>
        <w:rPr>
          <w:rFonts w:hAnsiTheme="minorEastAsia" w:eastAsiaTheme="minorEastAsia"/>
          <w:sz w:val="24"/>
        </w:rPr>
        <w:t>本标准制定遵循</w:t>
      </w:r>
      <w:r>
        <w:rPr>
          <w:rFonts w:eastAsiaTheme="minorEastAsia"/>
          <w:sz w:val="24"/>
        </w:rPr>
        <w:t>GB/T1.1-2009</w:t>
      </w:r>
      <w:r>
        <w:rPr>
          <w:rFonts w:hAnsiTheme="minorEastAsia" w:eastAsiaTheme="minorEastAsia"/>
          <w:sz w:val="24"/>
        </w:rPr>
        <w:t>、</w:t>
      </w:r>
      <w:r>
        <w:rPr>
          <w:rFonts w:hint="eastAsia" w:hAnsiTheme="minorEastAsia" w:eastAsiaTheme="minorEastAsia"/>
          <w:sz w:val="24"/>
        </w:rPr>
        <w:t>GB/T 1.2-2020 、</w:t>
      </w:r>
      <w:r>
        <w:rPr>
          <w:rFonts w:eastAsiaTheme="minorEastAsia"/>
          <w:sz w:val="24"/>
        </w:rPr>
        <w:t>GB/T18088-2000</w:t>
      </w:r>
      <w:r>
        <w:rPr>
          <w:rFonts w:hint="eastAsia" w:eastAsiaTheme="minorEastAsia"/>
          <w:sz w:val="24"/>
        </w:rPr>
        <w:t>、</w:t>
      </w:r>
      <w:r>
        <w:rPr>
          <w:rFonts w:hAnsiTheme="minorEastAsia" w:eastAsiaTheme="minorEastAsia"/>
          <w:sz w:val="24"/>
        </w:rPr>
        <w:t>《中华人民共和国动物防疫法》、《病原微生物实验室生物安全管理条例》、《动物检疫管理办法》、《农业部国家（行业）标准的计划编制、制定和审查管理办法》等相关法律、法规规定。</w:t>
      </w:r>
    </w:p>
    <w:p w14:paraId="4E1AD546">
      <w:pPr>
        <w:adjustRightInd w:val="0"/>
        <w:snapToGrid w:val="0"/>
        <w:spacing w:line="360" w:lineRule="auto"/>
        <w:ind w:firstLine="420"/>
        <w:rPr>
          <w:rFonts w:eastAsiaTheme="minorEastAsia"/>
          <w:sz w:val="24"/>
        </w:rPr>
      </w:pPr>
      <w:r>
        <w:rPr>
          <w:rFonts w:hAnsiTheme="minorEastAsia" w:eastAsiaTheme="minorEastAsia"/>
          <w:sz w:val="24"/>
        </w:rPr>
        <w:t>本标准与卫生标准《裂头蚴病的诊断》（</w:t>
      </w:r>
      <w:r>
        <w:rPr>
          <w:rFonts w:eastAsiaTheme="minorEastAsia"/>
          <w:color w:val="333333"/>
          <w:kern w:val="0"/>
          <w:sz w:val="24"/>
        </w:rPr>
        <w:t>WS 438-2013 </w:t>
      </w:r>
      <w:r>
        <w:rPr>
          <w:rFonts w:hAnsiTheme="minorEastAsia" w:eastAsiaTheme="minorEastAsia"/>
          <w:sz w:val="24"/>
        </w:rPr>
        <w:t>）</w:t>
      </w:r>
      <w:r>
        <w:rPr>
          <w:rFonts w:hint="eastAsia" w:hAnsiTheme="minorEastAsia" w:eastAsiaTheme="minorEastAsia"/>
          <w:sz w:val="24"/>
        </w:rPr>
        <w:t>、</w:t>
      </w:r>
      <w:r>
        <w:rPr>
          <w:rFonts w:hAnsiTheme="minorEastAsia" w:eastAsiaTheme="minorEastAsia"/>
          <w:sz w:val="24"/>
        </w:rPr>
        <w:t>《裂头绦虫幼虫检测》（</w:t>
      </w:r>
      <w:r>
        <w:rPr>
          <w:rFonts w:eastAsiaTheme="minorEastAsia"/>
          <w:sz w:val="24"/>
        </w:rPr>
        <w:t>WS/T 571-2017</w:t>
      </w:r>
      <w:r>
        <w:rPr>
          <w:rFonts w:hAnsiTheme="minorEastAsia" w:eastAsiaTheme="minorEastAsia"/>
          <w:sz w:val="24"/>
        </w:rPr>
        <w:t>）的</w:t>
      </w:r>
      <w:r>
        <w:rPr>
          <w:rFonts w:hint="eastAsia" w:hAnsiTheme="minorEastAsia" w:eastAsiaTheme="minorEastAsia"/>
          <w:sz w:val="24"/>
        </w:rPr>
        <w:t>应用</w:t>
      </w:r>
      <w:r>
        <w:rPr>
          <w:rFonts w:hAnsiTheme="minorEastAsia" w:eastAsiaTheme="minorEastAsia"/>
          <w:sz w:val="24"/>
        </w:rPr>
        <w:t>对象不同，可以相互补充，共同促进人和动物裂头蚴</w:t>
      </w:r>
      <w:r>
        <w:rPr>
          <w:rFonts w:hint="eastAsia" w:hAnsiTheme="minorEastAsia" w:eastAsiaTheme="minorEastAsia"/>
          <w:sz w:val="24"/>
        </w:rPr>
        <w:t>感染</w:t>
      </w:r>
      <w:r>
        <w:rPr>
          <w:rFonts w:hAnsiTheme="minorEastAsia" w:eastAsiaTheme="minorEastAsia"/>
          <w:sz w:val="24"/>
        </w:rPr>
        <w:t>的防控。</w:t>
      </w:r>
    </w:p>
    <w:p w14:paraId="53B21245">
      <w:pPr>
        <w:pStyle w:val="2"/>
        <w:keepNext w:val="0"/>
        <w:keepLines w:val="0"/>
        <w:adjustRightInd w:val="0"/>
        <w:snapToGrid w:val="0"/>
        <w:ind w:firstLine="560"/>
        <w:rPr>
          <w:rFonts w:ascii="Times New Roman" w:hAnsi="Times New Roman" w:eastAsiaTheme="minorEastAsia"/>
          <w:sz w:val="28"/>
        </w:rPr>
      </w:pPr>
    </w:p>
    <w:p w14:paraId="5CE9BB00">
      <w:pPr>
        <w:pStyle w:val="2"/>
        <w:keepNext w:val="0"/>
        <w:keepLines w:val="0"/>
        <w:wordWrap w:val="0"/>
        <w:ind w:firstLine="560"/>
        <w:rPr>
          <w:sz w:val="28"/>
        </w:rPr>
      </w:pPr>
      <w:r>
        <w:rPr>
          <w:sz w:val="28"/>
        </w:rPr>
        <w:t>六、重大分歧意见的处理经过和依据</w:t>
      </w:r>
    </w:p>
    <w:p w14:paraId="72CB2705">
      <w:pPr>
        <w:adjustRightInd w:val="0"/>
        <w:snapToGrid w:val="0"/>
        <w:spacing w:line="360" w:lineRule="auto"/>
        <w:ind w:firstLine="420"/>
        <w:rPr>
          <w:color w:val="00B0F0"/>
          <w:sz w:val="24"/>
        </w:rPr>
      </w:pPr>
      <w:r>
        <w:rPr>
          <w:rFonts w:hint="eastAsia"/>
          <w:color w:val="00B0F0"/>
          <w:sz w:val="24"/>
        </w:rPr>
        <w:t>说明各方面专家对标准主要内容（如参数、指标、试验方法）有哪些重大分歧，以及标准起草单位在修改完善标准过程中，对专家分歧意见的处理主要依据和处理结果。对同一方法或问题有不同解决方案的应讨论出最佳方案。</w:t>
      </w:r>
    </w:p>
    <w:p w14:paraId="342FAD82">
      <w:pPr>
        <w:pStyle w:val="2"/>
        <w:keepNext w:val="0"/>
        <w:keepLines w:val="0"/>
        <w:adjustRightInd w:val="0"/>
        <w:snapToGrid w:val="0"/>
        <w:ind w:firstLine="480"/>
        <w:rPr>
          <w:rFonts w:asciiTheme="minorEastAsia" w:hAnsiTheme="minorEastAsia" w:eastAsiaTheme="minorEastAsia"/>
          <w:sz w:val="24"/>
          <w:szCs w:val="24"/>
        </w:rPr>
      </w:pPr>
      <w:r>
        <w:rPr>
          <w:rFonts w:hint="eastAsia" w:asciiTheme="minorEastAsia" w:hAnsiTheme="minorEastAsia" w:eastAsiaTheme="minorEastAsia"/>
          <w:sz w:val="24"/>
          <w:szCs w:val="24"/>
        </w:rPr>
        <w:t>标准立项阶段征求意见稿共送国内11位同行专家评审，其中大专院校专家7位，分别来自中国农业大学、南京农业大学、吉林农业大学、山东农业大学、浙江大学、河南农业大学、新疆农业大学，其中包含一位来自宠物医院的兽医临床专家；科研院所专家4位，分别来自中国农业科学院兰州兽医研究所、中国动物卫生与流行病学中心、宁波市禽畜病研究所，其中宁波市禽畜病研究所主要开展家畜、家禽和宠物诊疗及疾病防控技术研发，属应用单位。共收到10位专家返还意见，有一位专家未提出具体意见。共征集到意见46条，主要集中在样品采集、PCR扩增、阳性标准对照、范围、题目等方面。共采纳43条，占93.48%；不采纳3条，主要集中在仪器、材料和试剂，试剂配制，引物等方面，占6.52%。无重大分歧。</w:t>
      </w:r>
    </w:p>
    <w:p w14:paraId="72DFE1F6">
      <w:pPr>
        <w:adjustRightInd w:val="0"/>
        <w:snapToGrid w:val="0"/>
        <w:spacing w:line="360" w:lineRule="auto"/>
        <w:rPr>
          <w:sz w:val="24"/>
        </w:rPr>
      </w:pPr>
    </w:p>
    <w:p w14:paraId="0985251B">
      <w:pPr>
        <w:pStyle w:val="2"/>
        <w:keepNext w:val="0"/>
        <w:keepLines w:val="0"/>
        <w:wordWrap w:val="0"/>
        <w:ind w:firstLine="560"/>
        <w:rPr>
          <w:sz w:val="28"/>
        </w:rPr>
      </w:pPr>
      <w:r>
        <w:rPr>
          <w:sz w:val="28"/>
        </w:rPr>
        <w:t>七、标准性质（强制性，推荐性）的建议，特别是对建议批为强制性标准的理由应充分说明</w:t>
      </w:r>
    </w:p>
    <w:p w14:paraId="69C229D9">
      <w:pPr>
        <w:adjustRightInd w:val="0"/>
        <w:snapToGrid w:val="0"/>
        <w:spacing w:line="360" w:lineRule="auto"/>
        <w:ind w:firstLine="420"/>
        <w:rPr>
          <w:color w:val="00B0F0"/>
          <w:sz w:val="24"/>
        </w:rPr>
      </w:pPr>
      <w:r>
        <w:rPr>
          <w:rFonts w:hint="eastAsia"/>
          <w:color w:val="00B0F0"/>
          <w:sz w:val="24"/>
        </w:rPr>
        <w:t>严格按照立项下达的性质编写。无需增加解释文字。建议将本修订</w:t>
      </w:r>
      <w:r>
        <w:rPr>
          <w:color w:val="00B0F0"/>
          <w:sz w:val="24"/>
        </w:rPr>
        <w:t>标准</w:t>
      </w:r>
      <w:r>
        <w:rPr>
          <w:rFonts w:hint="eastAsia"/>
          <w:color w:val="00B0F0"/>
          <w:sz w:val="24"/>
        </w:rPr>
        <w:t>批准为推荐性标准。</w:t>
      </w:r>
    </w:p>
    <w:p w14:paraId="7CE5456C">
      <w:pPr>
        <w:adjustRightInd w:val="0"/>
        <w:snapToGrid w:val="0"/>
        <w:spacing w:line="360" w:lineRule="auto"/>
        <w:ind w:firstLine="420"/>
        <w:rPr>
          <w:sz w:val="24"/>
        </w:rPr>
      </w:pPr>
      <w:r>
        <w:rPr>
          <w:rFonts w:hint="eastAsia"/>
          <w:sz w:val="24"/>
        </w:rPr>
        <w:t>由于跌宫绦虫裂头蚴尚未列入我国动物源性食品中强制性检疫对象，建议为推荐性标准。</w:t>
      </w:r>
    </w:p>
    <w:p w14:paraId="193009D8">
      <w:pPr>
        <w:adjustRightInd w:val="0"/>
        <w:snapToGrid w:val="0"/>
        <w:spacing w:line="360" w:lineRule="auto"/>
        <w:ind w:firstLine="420"/>
        <w:rPr>
          <w:color w:val="00B0F0"/>
          <w:sz w:val="24"/>
        </w:rPr>
      </w:pPr>
    </w:p>
    <w:p w14:paraId="50648FE4">
      <w:pPr>
        <w:pStyle w:val="2"/>
        <w:keepNext w:val="0"/>
        <w:keepLines w:val="0"/>
        <w:wordWrap w:val="0"/>
        <w:ind w:firstLine="560"/>
        <w:rPr>
          <w:sz w:val="28"/>
        </w:rPr>
      </w:pPr>
      <w:r>
        <w:rPr>
          <w:sz w:val="28"/>
        </w:rPr>
        <w:t>八、贯彻标准的要求和建议措施（组织实施、技术措施、过渡办法等）</w:t>
      </w:r>
    </w:p>
    <w:p w14:paraId="73364FEA">
      <w:pPr>
        <w:adjustRightInd w:val="0"/>
        <w:snapToGrid w:val="0"/>
        <w:spacing w:line="360" w:lineRule="auto"/>
        <w:ind w:firstLine="480" w:firstLineChars="200"/>
        <w:rPr>
          <w:b/>
          <w:bCs/>
          <w:sz w:val="24"/>
        </w:rPr>
      </w:pPr>
      <w:r>
        <w:rPr>
          <w:rFonts w:hAnsi="宋体"/>
          <w:bCs/>
          <w:sz w:val="24"/>
        </w:rPr>
        <w:t>标准一旦审核通过，建议尽快组织有关动物疾病防疫机构、规模养殖企业的兽医、野生动物保护机构的兽医、食品安全尤其是动物性食品安全检测人员和检验检疫人员等，进行标准宣传、技术培训，使本标准尽早为相关领域技术人员，以及公众所熟知。同时，也要想方设法，确保相关基层单位有充足的技术人员和业务经费，并配备相关仪器设备，为本标准的贯彻执行创造条件。</w:t>
      </w:r>
    </w:p>
    <w:p w14:paraId="6256CEA6">
      <w:pPr>
        <w:adjustRightInd w:val="0"/>
        <w:snapToGrid w:val="0"/>
        <w:spacing w:line="360" w:lineRule="auto"/>
      </w:pPr>
    </w:p>
    <w:p w14:paraId="62E85801">
      <w:pPr>
        <w:pStyle w:val="2"/>
        <w:keepNext w:val="0"/>
        <w:keepLines w:val="0"/>
        <w:wordWrap w:val="0"/>
        <w:ind w:firstLine="560"/>
        <w:rPr>
          <w:sz w:val="28"/>
        </w:rPr>
      </w:pPr>
      <w:r>
        <w:rPr>
          <w:sz w:val="28"/>
        </w:rPr>
        <w:t>九、废止现行有关标准的建议；</w:t>
      </w:r>
    </w:p>
    <w:p w14:paraId="208B082D">
      <w:pPr>
        <w:adjustRightInd w:val="0"/>
        <w:snapToGrid w:val="0"/>
        <w:spacing w:line="360" w:lineRule="auto"/>
        <w:ind w:firstLine="480" w:firstLineChars="200"/>
        <w:rPr>
          <w:rFonts w:asciiTheme="minorEastAsia" w:hAnsiTheme="minorEastAsia" w:eastAsiaTheme="minorEastAsia"/>
          <w:bCs/>
          <w:sz w:val="24"/>
        </w:rPr>
      </w:pPr>
      <w:r>
        <w:rPr>
          <w:rFonts w:hint="eastAsia" w:asciiTheme="minorEastAsia" w:hAnsiTheme="minorEastAsia" w:eastAsiaTheme="minorEastAsia"/>
          <w:bCs/>
          <w:sz w:val="24"/>
        </w:rPr>
        <w:t>无。</w:t>
      </w:r>
    </w:p>
    <w:p w14:paraId="0A35AADF">
      <w:pPr>
        <w:adjustRightInd w:val="0"/>
        <w:snapToGrid w:val="0"/>
        <w:spacing w:line="360" w:lineRule="auto"/>
        <w:ind w:firstLine="480" w:firstLineChars="200"/>
        <w:rPr>
          <w:rFonts w:asciiTheme="minorEastAsia" w:hAnsiTheme="minorEastAsia" w:eastAsiaTheme="minorEastAsia"/>
          <w:bCs/>
          <w:sz w:val="24"/>
        </w:rPr>
      </w:pPr>
    </w:p>
    <w:p w14:paraId="50A98390">
      <w:pPr>
        <w:pStyle w:val="2"/>
        <w:keepNext w:val="0"/>
        <w:keepLines w:val="0"/>
        <w:wordWrap w:val="0"/>
        <w:ind w:firstLine="560"/>
        <w:rPr>
          <w:sz w:val="28"/>
        </w:rPr>
      </w:pPr>
      <w:r>
        <w:rPr>
          <w:sz w:val="28"/>
        </w:rPr>
        <w:t>十、其他应予说明的事项。</w:t>
      </w:r>
    </w:p>
    <w:p w14:paraId="341B24BF">
      <w:pPr>
        <w:adjustRightInd w:val="0"/>
        <w:snapToGrid w:val="0"/>
        <w:spacing w:line="360" w:lineRule="auto"/>
        <w:ind w:firstLine="480" w:firstLineChars="200"/>
        <w:rPr>
          <w:color w:val="00B0F0"/>
          <w:sz w:val="24"/>
        </w:rPr>
      </w:pPr>
      <w:r>
        <w:rPr>
          <w:rFonts w:hint="eastAsia"/>
          <w:color w:val="00B0F0"/>
          <w:sz w:val="24"/>
        </w:rPr>
        <w:t>主要包括标准项目任务完成中有关</w:t>
      </w:r>
      <w:r>
        <w:rPr>
          <w:rFonts w:hint="eastAsia"/>
          <w:b/>
          <w:color w:val="00B0F0"/>
          <w:sz w:val="24"/>
        </w:rPr>
        <w:t>标准名称变更</w:t>
      </w:r>
      <w:r>
        <w:rPr>
          <w:rFonts w:hint="eastAsia"/>
          <w:color w:val="00B0F0"/>
          <w:sz w:val="24"/>
        </w:rPr>
        <w:t>、对有争议问题、遗留问题处理、尚需探讨的问题和制定或修订配套标准的说明等。</w:t>
      </w:r>
    </w:p>
    <w:p w14:paraId="20FD908C">
      <w:pPr>
        <w:adjustRightInd w:val="0"/>
        <w:snapToGrid w:val="0"/>
        <w:spacing w:line="360" w:lineRule="auto"/>
        <w:ind w:firstLine="480" w:firstLineChars="200"/>
        <w:rPr>
          <w:rFonts w:asciiTheme="minorEastAsia" w:hAnsiTheme="minorEastAsia" w:eastAsiaTheme="minorEastAsia"/>
          <w:bCs/>
          <w:sz w:val="24"/>
        </w:rPr>
      </w:pPr>
      <w:r>
        <w:rPr>
          <w:rFonts w:hint="eastAsia" w:asciiTheme="minorEastAsia" w:hAnsiTheme="minorEastAsia" w:eastAsiaTheme="minorEastAsia"/>
          <w:bCs/>
          <w:sz w:val="24"/>
        </w:rPr>
        <w:t>无。</w:t>
      </w:r>
    </w:p>
    <w:p w14:paraId="19F175FB">
      <w:pPr>
        <w:adjustRightInd w:val="0"/>
        <w:snapToGrid w:val="0"/>
        <w:spacing w:line="360" w:lineRule="auto"/>
        <w:rPr>
          <w:rFonts w:asciiTheme="minorEastAsia" w:hAnsiTheme="minorEastAsia" w:eastAsiaTheme="minorEastAsia"/>
          <w:sz w:val="24"/>
        </w:rPr>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modern"/>
    <w:pitch w:val="default"/>
    <w:sig w:usb0="800002BF" w:usb1="38CF7CFA" w:usb2="00000016" w:usb3="00000000" w:csb0="00040001" w:csb1="00000000"/>
  </w:font>
  <w:font w:name="Arial">
    <w:panose1 w:val="020B0604020202020204"/>
    <w:charset w:val="00"/>
    <w:family w:val="swiss"/>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338081282"/>
      <w:docPartObj>
        <w:docPartGallery w:val="AutoText"/>
      </w:docPartObj>
    </w:sdtPr>
    <w:sdtContent>
      <w:p w14:paraId="43EB0D49">
        <w:pPr>
          <w:pStyle w:val="5"/>
          <w:jc w:val="center"/>
        </w:pPr>
        <w:r>
          <w:fldChar w:fldCharType="begin"/>
        </w:r>
        <w:r>
          <w:instrText xml:space="preserve">PAGE   \* MERGEFORMAT</w:instrText>
        </w:r>
        <w:r>
          <w:fldChar w:fldCharType="separate"/>
        </w:r>
        <w:r>
          <w:rPr>
            <w:lang w:val="zh-CN"/>
          </w:rPr>
          <w:t>20</w:t>
        </w:r>
        <w:r>
          <w:rPr>
            <w:lang w:val="zh-CN"/>
          </w:rPr>
          <w:fldChar w:fldCharType="end"/>
        </w:r>
      </w:p>
    </w:sdtContent>
  </w:sdt>
  <w:p w14:paraId="1A48994C">
    <w:pPr>
      <w:pStyle w:val="5"/>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DB0D7F"/>
    <w:multiLevelType w:val="multilevel"/>
    <w:tmpl w:val="3EDB0D7F"/>
    <w:lvl w:ilvl="0" w:tentative="0">
      <w:start w:val="1"/>
      <w:numFmt w:val="decimal"/>
      <w:lvlText w:val="%1."/>
      <w:lvlJc w:val="left"/>
      <w:pPr>
        <w:ind w:left="842" w:hanging="36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5"/>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A5B4F"/>
    <w:rsid w:val="00023BA6"/>
    <w:rsid w:val="00054059"/>
    <w:rsid w:val="000808BB"/>
    <w:rsid w:val="00093870"/>
    <w:rsid w:val="000A1CEA"/>
    <w:rsid w:val="000F1979"/>
    <w:rsid w:val="001063E4"/>
    <w:rsid w:val="00154E96"/>
    <w:rsid w:val="00170544"/>
    <w:rsid w:val="00177476"/>
    <w:rsid w:val="001E3FA1"/>
    <w:rsid w:val="00230CEC"/>
    <w:rsid w:val="00265023"/>
    <w:rsid w:val="00285122"/>
    <w:rsid w:val="00324D18"/>
    <w:rsid w:val="003C5852"/>
    <w:rsid w:val="00404AB0"/>
    <w:rsid w:val="00415FBE"/>
    <w:rsid w:val="004839EA"/>
    <w:rsid w:val="004B51A3"/>
    <w:rsid w:val="004C4E3E"/>
    <w:rsid w:val="004E7FF1"/>
    <w:rsid w:val="00510AB5"/>
    <w:rsid w:val="00527A68"/>
    <w:rsid w:val="005D0377"/>
    <w:rsid w:val="006673E6"/>
    <w:rsid w:val="00697B46"/>
    <w:rsid w:val="006A1484"/>
    <w:rsid w:val="006A1C60"/>
    <w:rsid w:val="006A6239"/>
    <w:rsid w:val="006F342F"/>
    <w:rsid w:val="00713D2E"/>
    <w:rsid w:val="007172A6"/>
    <w:rsid w:val="00732BFA"/>
    <w:rsid w:val="007553A2"/>
    <w:rsid w:val="007642C8"/>
    <w:rsid w:val="007728EB"/>
    <w:rsid w:val="0080113E"/>
    <w:rsid w:val="00802405"/>
    <w:rsid w:val="008050A6"/>
    <w:rsid w:val="0083470C"/>
    <w:rsid w:val="008911FB"/>
    <w:rsid w:val="008B32B9"/>
    <w:rsid w:val="008C6BB4"/>
    <w:rsid w:val="008F6672"/>
    <w:rsid w:val="00905BEA"/>
    <w:rsid w:val="009230DD"/>
    <w:rsid w:val="00926FD9"/>
    <w:rsid w:val="00960C2A"/>
    <w:rsid w:val="009A4B75"/>
    <w:rsid w:val="009B1020"/>
    <w:rsid w:val="009D3D7C"/>
    <w:rsid w:val="00A00BBF"/>
    <w:rsid w:val="00A74A84"/>
    <w:rsid w:val="00AA5B4F"/>
    <w:rsid w:val="00AD4E02"/>
    <w:rsid w:val="00AE40D4"/>
    <w:rsid w:val="00B25394"/>
    <w:rsid w:val="00B2634D"/>
    <w:rsid w:val="00B93B68"/>
    <w:rsid w:val="00BA7C41"/>
    <w:rsid w:val="00BC4869"/>
    <w:rsid w:val="00BC540D"/>
    <w:rsid w:val="00BF25D8"/>
    <w:rsid w:val="00C01242"/>
    <w:rsid w:val="00C30011"/>
    <w:rsid w:val="00C31EF1"/>
    <w:rsid w:val="00CC0C66"/>
    <w:rsid w:val="00CD1ECB"/>
    <w:rsid w:val="00CD63D4"/>
    <w:rsid w:val="00CE7955"/>
    <w:rsid w:val="00CF0E22"/>
    <w:rsid w:val="00D04CAD"/>
    <w:rsid w:val="00D12F10"/>
    <w:rsid w:val="00D66906"/>
    <w:rsid w:val="00D969BD"/>
    <w:rsid w:val="00DD5736"/>
    <w:rsid w:val="00E0542E"/>
    <w:rsid w:val="00E66529"/>
    <w:rsid w:val="00E7114C"/>
    <w:rsid w:val="00E73EB4"/>
    <w:rsid w:val="00E755F6"/>
    <w:rsid w:val="00EA31AB"/>
    <w:rsid w:val="00EF17FD"/>
    <w:rsid w:val="00EF6F08"/>
    <w:rsid w:val="00F21C64"/>
    <w:rsid w:val="00F2377F"/>
    <w:rsid w:val="00F34E09"/>
    <w:rsid w:val="00F42193"/>
    <w:rsid w:val="00F55A6B"/>
    <w:rsid w:val="00F90CEA"/>
    <w:rsid w:val="1064360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2"/>
    <w:qFormat/>
    <w:uiPriority w:val="9"/>
    <w:pPr>
      <w:keepNext/>
      <w:keepLines/>
      <w:spacing w:line="360" w:lineRule="auto"/>
      <w:ind w:firstLine="440" w:firstLineChars="200"/>
      <w:outlineLvl w:val="0"/>
    </w:pPr>
    <w:rPr>
      <w:rFonts w:ascii="仿宋" w:hAnsi="仿宋" w:eastAsia="黑体"/>
      <w:bCs/>
      <w:kern w:val="44"/>
      <w:sz w:val="22"/>
      <w:szCs w:val="44"/>
    </w:rPr>
  </w:style>
  <w:style w:type="paragraph" w:styleId="3">
    <w:name w:val="heading 2"/>
    <w:basedOn w:val="1"/>
    <w:next w:val="1"/>
    <w:link w:val="13"/>
    <w:unhideWhenUsed/>
    <w:qFormat/>
    <w:uiPriority w:val="9"/>
    <w:pPr>
      <w:keepNext/>
      <w:keepLines/>
      <w:spacing w:line="360" w:lineRule="auto"/>
      <w:ind w:firstLine="442" w:firstLineChars="200"/>
      <w:outlineLvl w:val="1"/>
    </w:pPr>
    <w:rPr>
      <w:rFonts w:ascii="Cambria" w:hAnsi="Cambria" w:eastAsia="楷体"/>
      <w:b/>
      <w:bCs/>
      <w:sz w:val="22"/>
      <w:szCs w:val="32"/>
    </w:rPr>
  </w:style>
  <w:style w:type="character" w:default="1" w:styleId="8">
    <w:name w:val="Default Paragraph Font"/>
    <w:semiHidden/>
    <w:unhideWhenUsed/>
    <w:qFormat/>
    <w:uiPriority w:val="1"/>
  </w:style>
  <w:style w:type="table" w:default="1" w:styleId="7">
    <w:name w:val="Normal Table"/>
    <w:semiHidden/>
    <w:unhideWhenUsed/>
    <w:uiPriority w:val="99"/>
    <w:tblPr>
      <w:tblCellMar>
        <w:top w:w="0" w:type="dxa"/>
        <w:left w:w="108" w:type="dxa"/>
        <w:bottom w:w="0" w:type="dxa"/>
        <w:right w:w="108" w:type="dxa"/>
      </w:tblCellMar>
    </w:tblPr>
  </w:style>
  <w:style w:type="paragraph" w:styleId="4">
    <w:name w:val="Balloon Text"/>
    <w:basedOn w:val="1"/>
    <w:link w:val="17"/>
    <w:semiHidden/>
    <w:unhideWhenUsed/>
    <w:uiPriority w:val="99"/>
    <w:rPr>
      <w:sz w:val="18"/>
      <w:szCs w:val="18"/>
    </w:rPr>
  </w:style>
  <w:style w:type="paragraph" w:styleId="5">
    <w:name w:val="footer"/>
    <w:basedOn w:val="1"/>
    <w:link w:val="11"/>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character" w:styleId="9">
    <w:name w:val="Emphasis"/>
    <w:qFormat/>
    <w:uiPriority w:val="20"/>
    <w:rPr>
      <w:i/>
      <w:iCs/>
    </w:rPr>
  </w:style>
  <w:style w:type="character" w:customStyle="1" w:styleId="10">
    <w:name w:val="页眉 Char"/>
    <w:basedOn w:val="8"/>
    <w:link w:val="6"/>
    <w:qFormat/>
    <w:uiPriority w:val="99"/>
    <w:rPr>
      <w:sz w:val="18"/>
      <w:szCs w:val="18"/>
    </w:rPr>
  </w:style>
  <w:style w:type="character" w:customStyle="1" w:styleId="11">
    <w:name w:val="页脚 Char"/>
    <w:basedOn w:val="8"/>
    <w:link w:val="5"/>
    <w:qFormat/>
    <w:uiPriority w:val="99"/>
    <w:rPr>
      <w:sz w:val="18"/>
      <w:szCs w:val="18"/>
    </w:rPr>
  </w:style>
  <w:style w:type="character" w:customStyle="1" w:styleId="12">
    <w:name w:val="标题 1 Char"/>
    <w:basedOn w:val="8"/>
    <w:link w:val="2"/>
    <w:qFormat/>
    <w:uiPriority w:val="9"/>
    <w:rPr>
      <w:rFonts w:ascii="仿宋" w:hAnsi="仿宋" w:eastAsia="黑体" w:cs="Times New Roman"/>
      <w:bCs/>
      <w:kern w:val="44"/>
      <w:sz w:val="22"/>
      <w:szCs w:val="44"/>
    </w:rPr>
  </w:style>
  <w:style w:type="character" w:customStyle="1" w:styleId="13">
    <w:name w:val="标题 2 Char"/>
    <w:basedOn w:val="8"/>
    <w:link w:val="3"/>
    <w:qFormat/>
    <w:uiPriority w:val="9"/>
    <w:rPr>
      <w:rFonts w:ascii="Cambria" w:hAnsi="Cambria" w:eastAsia="楷体" w:cs="Times New Roman"/>
      <w:b/>
      <w:bCs/>
      <w:sz w:val="22"/>
      <w:szCs w:val="32"/>
    </w:rPr>
  </w:style>
  <w:style w:type="paragraph" w:customStyle="1" w:styleId="14">
    <w:name w:val="Default"/>
    <w:uiPriority w:val="0"/>
    <w:pPr>
      <w:widowControl w:val="0"/>
      <w:autoSpaceDE w:val="0"/>
      <w:autoSpaceDN w:val="0"/>
      <w:adjustRightInd w:val="0"/>
    </w:pPr>
    <w:rPr>
      <w:rFonts w:ascii="楷体" w:eastAsia="楷体" w:cs="楷体" w:hAnsiTheme="minorHAnsi"/>
      <w:color w:val="000000"/>
      <w:kern w:val="0"/>
      <w:sz w:val="24"/>
      <w:szCs w:val="24"/>
      <w:lang w:val="en-US" w:eastAsia="zh-CN" w:bidi="ar-SA"/>
    </w:rPr>
  </w:style>
  <w:style w:type="paragraph" w:styleId="15">
    <w:name w:val="List Paragraph"/>
    <w:basedOn w:val="1"/>
    <w:qFormat/>
    <w:uiPriority w:val="34"/>
    <w:pPr>
      <w:ind w:firstLine="420" w:firstLineChars="200"/>
    </w:pPr>
  </w:style>
  <w:style w:type="paragraph" w:styleId="16">
    <w:name w:val="No Spacing"/>
    <w:qFormat/>
    <w:uiPriority w:val="1"/>
    <w:pPr>
      <w:widowControl w:val="0"/>
      <w:jc w:val="both"/>
    </w:pPr>
    <w:rPr>
      <w:rFonts w:ascii="Calibri" w:hAnsi="Calibri" w:eastAsia="宋体" w:cs="Times New Roman"/>
      <w:kern w:val="2"/>
      <w:sz w:val="21"/>
      <w:szCs w:val="22"/>
      <w:lang w:val="en-US" w:eastAsia="zh-CN" w:bidi="ar-SA"/>
    </w:rPr>
  </w:style>
  <w:style w:type="character" w:customStyle="1" w:styleId="17">
    <w:name w:val="批注框文本 Char"/>
    <w:basedOn w:val="8"/>
    <w:link w:val="4"/>
    <w:semiHidden/>
    <w:uiPriority w:val="99"/>
    <w:rPr>
      <w:rFonts w:ascii="Times New Roman" w:hAnsi="Times New Roman"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workgroup</Company>
  <Pages>21</Pages>
  <Words>7989</Words>
  <Characters>9582</Characters>
  <Lines>136</Lines>
  <Paragraphs>38</Paragraphs>
  <TotalTime>51</TotalTime>
  <ScaleCrop>false</ScaleCrop>
  <LinksUpToDate>false</LinksUpToDate>
  <CharactersWithSpaces>9829</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2023-10-12T13:50:00Z</dcterms:created>
  <dc:creator>wyy</dc:creator>
  <cp:lastModifiedBy>阿风</cp:lastModifiedBy>
  <dcterms:modified xsi:type="dcterms:W3CDTF">2025-01-15T07:46:57Z</dcterms:modified>
  <cp:revision>18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eyJoZGlkIjoiMTY3YTc0ZDNkYTU5NWM3MzQwMTNmNTQ3ZjY2YWZjOTQiLCJ1c2VySWQiOiIyNDMzODgwMTYifQ==</vt:lpwstr>
  </property>
  <property fmtid="{D5CDD505-2E9C-101B-9397-08002B2CF9AE}" pid="3" name="KSOProductBuildVer">
    <vt:lpwstr>2052-12.1.0.19770</vt:lpwstr>
  </property>
  <property fmtid="{D5CDD505-2E9C-101B-9397-08002B2CF9AE}" pid="4" name="ICV">
    <vt:lpwstr>A29660A6FB274419A1E4C73F3688897D_12</vt:lpwstr>
  </property>
</Properties>
</file>